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gliatabella"/>
        <w:tblW w:w="14567" w:type="dxa"/>
        <w:tblLook w:val="04A0" w:firstRow="1" w:lastRow="0" w:firstColumn="1" w:lastColumn="0" w:noHBand="0" w:noVBand="1"/>
      </w:tblPr>
      <w:tblGrid>
        <w:gridCol w:w="4002"/>
        <w:gridCol w:w="2230"/>
        <w:gridCol w:w="2240"/>
        <w:gridCol w:w="2126"/>
        <w:gridCol w:w="3969"/>
      </w:tblGrid>
      <w:tr w:rsidR="005D34AB" w:rsidRPr="00AE2F31" w14:paraId="3497BDE3" w14:textId="570676D5" w:rsidTr="005D34AB">
        <w:trPr>
          <w:tblHeader/>
        </w:trPr>
        <w:tc>
          <w:tcPr>
            <w:tcW w:w="4002" w:type="dxa"/>
          </w:tcPr>
          <w:p w14:paraId="2676D5AA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Descrizione</w:t>
            </w:r>
          </w:p>
        </w:tc>
        <w:tc>
          <w:tcPr>
            <w:tcW w:w="2230" w:type="dxa"/>
          </w:tcPr>
          <w:p w14:paraId="37EFAEFA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Riferimenti normativi</w:t>
            </w:r>
          </w:p>
        </w:tc>
        <w:tc>
          <w:tcPr>
            <w:tcW w:w="2240" w:type="dxa"/>
          </w:tcPr>
          <w:p w14:paraId="01188CF5" w14:textId="57F4A090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241959">
              <w:rPr>
                <w:b/>
                <w:sz w:val="20"/>
                <w:szCs w:val="20"/>
              </w:rPr>
              <w:t>Esito verifica (regolare; Non regolare; Non Pertinente)</w:t>
            </w:r>
          </w:p>
        </w:tc>
        <w:tc>
          <w:tcPr>
            <w:tcW w:w="2126" w:type="dxa"/>
          </w:tcPr>
          <w:p w14:paraId="03314170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Documenti di riferimento</w:t>
            </w:r>
          </w:p>
        </w:tc>
        <w:tc>
          <w:tcPr>
            <w:tcW w:w="3969" w:type="dxa"/>
          </w:tcPr>
          <w:p w14:paraId="13A824C8" w14:textId="77777777" w:rsidR="005D34AB" w:rsidRPr="00AE2F31" w:rsidRDefault="005D34AB" w:rsidP="00AE2F31">
            <w:pPr>
              <w:rPr>
                <w:b/>
                <w:sz w:val="20"/>
                <w:szCs w:val="20"/>
              </w:rPr>
            </w:pPr>
            <w:r w:rsidRPr="00AE2F31">
              <w:rPr>
                <w:b/>
                <w:sz w:val="20"/>
                <w:szCs w:val="20"/>
              </w:rPr>
              <w:t>Note</w:t>
            </w:r>
          </w:p>
        </w:tc>
      </w:tr>
      <w:tr w:rsidR="005D34AB" w14:paraId="0C459186" w14:textId="61AA392D" w:rsidTr="005D34AB">
        <w:tc>
          <w:tcPr>
            <w:tcW w:w="4002" w:type="dxa"/>
          </w:tcPr>
          <w:p w14:paraId="3C5C84E8" w14:textId="77777777" w:rsidR="005D34AB" w:rsidRDefault="005D34AB">
            <w:pPr>
              <w:rPr>
                <w:b/>
              </w:rPr>
            </w:pPr>
            <w:r>
              <w:rPr>
                <w:b/>
              </w:rPr>
              <w:t xml:space="preserve">1. Presupposti </w:t>
            </w:r>
          </w:p>
          <w:p w14:paraId="44639125" w14:textId="77777777" w:rsidR="005D34AB" w:rsidRPr="009F4C4B" w:rsidRDefault="005D34AB">
            <w:r w:rsidRPr="009F4C4B">
              <w:t>1.1. Ricorrono tutti i presupposti normativi per l’affidamento in house?</w:t>
            </w:r>
          </w:p>
          <w:p w14:paraId="3AC4229E" w14:textId="77777777" w:rsidR="005D34AB" w:rsidRPr="009F4C4B" w:rsidRDefault="005D34AB"/>
          <w:p w14:paraId="1170C9A3" w14:textId="77777777" w:rsidR="005D34AB" w:rsidRPr="009F4C4B" w:rsidRDefault="005D34AB">
            <w:r w:rsidRPr="009F4C4B">
              <w:t>- l’affidatario ha per</w:t>
            </w:r>
            <w:r>
              <w:t xml:space="preserve">sonalità giuridica distinta da quella della </w:t>
            </w:r>
            <w:r w:rsidRPr="009F4C4B">
              <w:t>stazione appaltante;</w:t>
            </w:r>
          </w:p>
          <w:p w14:paraId="2EF43B92" w14:textId="77777777" w:rsidR="005D34AB" w:rsidRPr="009F4C4B" w:rsidRDefault="005D34AB"/>
          <w:p w14:paraId="6A9E2335" w14:textId="77777777" w:rsidR="005D34AB" w:rsidRPr="009F4C4B" w:rsidRDefault="005D34AB">
            <w:r w:rsidRPr="009F4C4B">
              <w:t>- la stazione appaltante esercita sull’affidatario il controllo analogo (eventualmente, anche in modo congiunto con altre stazioni appaltanti)</w:t>
            </w:r>
            <w:r>
              <w:t>;</w:t>
            </w:r>
          </w:p>
          <w:p w14:paraId="4FB999EB" w14:textId="77777777" w:rsidR="005D34AB" w:rsidRPr="009F4C4B" w:rsidRDefault="005D34AB"/>
          <w:p w14:paraId="1E52BB44" w14:textId="77777777" w:rsidR="005D34AB" w:rsidRPr="009F4C4B" w:rsidRDefault="005D34AB">
            <w:r w:rsidRPr="009F4C4B">
              <w:t>- non vi è partecipazione di capitali privati nella compagine dell’affidatario, ad eccezione di quella prescritta da norme di legge e che comunque si realizza in forme che non comportino controllo o potere di veto, né l'esercizio di un'influenza determinante sull’affidatario;</w:t>
            </w:r>
          </w:p>
          <w:p w14:paraId="66E6F2F2" w14:textId="77777777" w:rsidR="005D34AB" w:rsidRPr="009F4C4B" w:rsidRDefault="005D34AB"/>
          <w:p w14:paraId="4503268C" w14:textId="77777777" w:rsidR="005D34AB" w:rsidRPr="009F4C4B" w:rsidRDefault="005D34AB">
            <w:r w:rsidRPr="009F4C4B">
              <w:t xml:space="preserve">- oltre l’80% del fatturato dell’affidatario </w:t>
            </w:r>
            <w:r>
              <w:t>è</w:t>
            </w:r>
            <w:r w:rsidRPr="009F4C4B">
              <w:t xml:space="preserve"> effettuato nello svolgimento dei compiti a esso affidati dalla stazione appaltante</w:t>
            </w:r>
            <w:r>
              <w:t>.</w:t>
            </w:r>
          </w:p>
          <w:p w14:paraId="24EAB3A2" w14:textId="77777777" w:rsidR="005D34AB" w:rsidRPr="009F4C4B" w:rsidRDefault="005D34AB"/>
          <w:p w14:paraId="5AFA2178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230" w:type="dxa"/>
          </w:tcPr>
          <w:p w14:paraId="48E2EDB5" w14:textId="77777777" w:rsidR="005D34AB" w:rsidRDefault="005D34AB" w:rsidP="009F4C4B">
            <w:r w:rsidRPr="00A3514B">
              <w:lastRenderedPageBreak/>
              <w:t>Art. 7</w:t>
            </w:r>
            <w:r>
              <w:t>, comma 2, e Allegato I.1., art. 3, comma 1, lett. e)</w:t>
            </w:r>
          </w:p>
          <w:p w14:paraId="44C60EEC" w14:textId="77777777" w:rsidR="005D34AB" w:rsidRPr="00B755AD" w:rsidRDefault="005D34AB" w:rsidP="009F4C4B">
            <w:pPr>
              <w:rPr>
                <w:b/>
              </w:rPr>
            </w:pPr>
            <w:r>
              <w:t xml:space="preserve">Artt. 2, comma 1, lett. o), e 16, commi 1 e 3, del d.lgs. 175/2016 </w:t>
            </w:r>
          </w:p>
        </w:tc>
        <w:tc>
          <w:tcPr>
            <w:tcW w:w="2240" w:type="dxa"/>
          </w:tcPr>
          <w:p w14:paraId="7D374939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126" w:type="dxa"/>
          </w:tcPr>
          <w:p w14:paraId="11BB6BB7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3969" w:type="dxa"/>
          </w:tcPr>
          <w:p w14:paraId="5E1FFD4E" w14:textId="77777777" w:rsidR="005D34AB" w:rsidRPr="00B755AD" w:rsidRDefault="005D34AB">
            <w:pPr>
              <w:rPr>
                <w:b/>
              </w:rPr>
            </w:pPr>
          </w:p>
        </w:tc>
      </w:tr>
      <w:tr w:rsidR="005D34AB" w14:paraId="596099F8" w14:textId="2BB4952B" w:rsidTr="005D34AB">
        <w:tc>
          <w:tcPr>
            <w:tcW w:w="4002" w:type="dxa"/>
          </w:tcPr>
          <w:p w14:paraId="63EC82A4" w14:textId="77777777" w:rsidR="005D34AB" w:rsidRPr="00A3514B" w:rsidRDefault="005D34AB" w:rsidP="00A3514B">
            <w:r w:rsidRPr="00A3514B">
              <w:t>1.2. La stazione appaltante ha motivato l’affidamento, dando conto dei vantaggi per la collettività, delle connesse esternalità e della congruità economica della prestazione, anche in relazione al perseguimento di obiettivi di universalità, socialità, efficienza, economicità, qualità della prestazione, celerità del procedimento e razionale impiego di risorse pubbliche?</w:t>
            </w:r>
          </w:p>
          <w:p w14:paraId="035CB9EE" w14:textId="77777777" w:rsidR="005D34AB" w:rsidRDefault="005D34AB" w:rsidP="00A3514B">
            <w:pPr>
              <w:rPr>
                <w:b/>
              </w:rPr>
            </w:pPr>
            <w:r w:rsidRPr="00A3514B">
              <w:t xml:space="preserve">(N.B.:  in caso di prestazioni strumentali, il provvedimento si intende sufficientemente motivato qualora dia conto dei vantaggi in termini di economicità, di celerità o di perseguimento di interessi strategici. I vantaggi di economicità possono emergere anche mediante la comparazione con gli standard di riferimento della società Consip S.p.a. e delle altre centrali di committenza, con i parametri ufficiali elaborati da altri enti </w:t>
            </w:r>
            <w:r w:rsidRPr="00A3514B">
              <w:lastRenderedPageBreak/>
              <w:t>regionali nazionali o esteri oppure, in mancanza, con gli standard di mercato)</w:t>
            </w:r>
          </w:p>
        </w:tc>
        <w:tc>
          <w:tcPr>
            <w:tcW w:w="2230" w:type="dxa"/>
          </w:tcPr>
          <w:p w14:paraId="1755859A" w14:textId="77777777" w:rsidR="005D34AB" w:rsidRPr="00A3514B" w:rsidRDefault="005D34AB">
            <w:r w:rsidRPr="00A3514B">
              <w:lastRenderedPageBreak/>
              <w:t>Art. 7</w:t>
            </w:r>
            <w:r>
              <w:t>, comma 2</w:t>
            </w:r>
          </w:p>
        </w:tc>
        <w:tc>
          <w:tcPr>
            <w:tcW w:w="2240" w:type="dxa"/>
          </w:tcPr>
          <w:p w14:paraId="46F329E1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126" w:type="dxa"/>
          </w:tcPr>
          <w:p w14:paraId="557A151A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3969" w:type="dxa"/>
          </w:tcPr>
          <w:p w14:paraId="47887796" w14:textId="77777777" w:rsidR="005D34AB" w:rsidRPr="00B755AD" w:rsidRDefault="005D34AB">
            <w:pPr>
              <w:rPr>
                <w:b/>
              </w:rPr>
            </w:pPr>
          </w:p>
        </w:tc>
      </w:tr>
      <w:tr w:rsidR="005D34AB" w14:paraId="11A5657B" w14:textId="06DF5270" w:rsidTr="005D34AB">
        <w:tc>
          <w:tcPr>
            <w:tcW w:w="4002" w:type="dxa"/>
          </w:tcPr>
          <w:p w14:paraId="69FFAF2F" w14:textId="77777777" w:rsidR="005D34AB" w:rsidRPr="009B50FD" w:rsidRDefault="005D34AB" w:rsidP="00A3514B">
            <w:pPr>
              <w:rPr>
                <w:b/>
              </w:rPr>
            </w:pPr>
            <w:r w:rsidRPr="009B50FD">
              <w:rPr>
                <w:b/>
              </w:rPr>
              <w:t xml:space="preserve">2. Informazioni </w:t>
            </w:r>
          </w:p>
          <w:p w14:paraId="10F09417" w14:textId="77777777" w:rsidR="005D34AB" w:rsidRPr="00A3514B" w:rsidRDefault="005D34AB" w:rsidP="00A3514B">
            <w:r>
              <w:t xml:space="preserve">2.1. La stazione appaltante ha assolto gli obblighi informativi relativi alle trasmissioni </w:t>
            </w:r>
            <w:r w:rsidRPr="00A92701">
              <w:t>alla Banca dati nazionale dei contratti pubblic</w:t>
            </w:r>
            <w:r>
              <w:t>i?</w:t>
            </w:r>
          </w:p>
        </w:tc>
        <w:tc>
          <w:tcPr>
            <w:tcW w:w="2230" w:type="dxa"/>
          </w:tcPr>
          <w:p w14:paraId="786DED0D" w14:textId="77777777" w:rsidR="005D34AB" w:rsidRDefault="005D34AB">
            <w:r>
              <w:t>Art. 23, comma 5</w:t>
            </w:r>
          </w:p>
          <w:p w14:paraId="2C2BFC7E" w14:textId="77777777" w:rsidR="005D34AB" w:rsidRPr="00A3514B" w:rsidRDefault="005D34AB">
            <w:r>
              <w:t>Delibera ANAC 261/2023 (efficace a decorrere dal 1° gennaio 2024)</w:t>
            </w:r>
          </w:p>
        </w:tc>
        <w:tc>
          <w:tcPr>
            <w:tcW w:w="2240" w:type="dxa"/>
          </w:tcPr>
          <w:p w14:paraId="2E822F7D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2126" w:type="dxa"/>
          </w:tcPr>
          <w:p w14:paraId="43156860" w14:textId="77777777" w:rsidR="005D34AB" w:rsidRPr="00B755AD" w:rsidRDefault="005D34AB">
            <w:pPr>
              <w:rPr>
                <w:b/>
              </w:rPr>
            </w:pPr>
          </w:p>
        </w:tc>
        <w:tc>
          <w:tcPr>
            <w:tcW w:w="3969" w:type="dxa"/>
          </w:tcPr>
          <w:p w14:paraId="27520C0F" w14:textId="77777777" w:rsidR="005D34AB" w:rsidRPr="00B755AD" w:rsidRDefault="005D34AB">
            <w:pPr>
              <w:rPr>
                <w:b/>
              </w:rPr>
            </w:pPr>
          </w:p>
        </w:tc>
      </w:tr>
    </w:tbl>
    <w:p w14:paraId="1132E4D8" w14:textId="77777777" w:rsidR="00EE6EFA" w:rsidRDefault="00EE6EFA"/>
    <w:sectPr w:rsidR="00EE6EFA" w:rsidSect="00DE2A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04599" w14:textId="77777777" w:rsidR="000418EB" w:rsidRDefault="000418EB" w:rsidP="009F3541">
      <w:pPr>
        <w:spacing w:after="0" w:line="240" w:lineRule="auto"/>
      </w:pPr>
      <w:r>
        <w:separator/>
      </w:r>
    </w:p>
  </w:endnote>
  <w:endnote w:type="continuationSeparator" w:id="0">
    <w:p w14:paraId="59B62912" w14:textId="77777777" w:rsidR="000418EB" w:rsidRDefault="000418EB" w:rsidP="009F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6E28E" w14:textId="77777777" w:rsidR="001E15F3" w:rsidRDefault="001E15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9"/>
      <w:gridCol w:w="3009"/>
      <w:gridCol w:w="1432"/>
      <w:gridCol w:w="2082"/>
      <w:gridCol w:w="2357"/>
      <w:gridCol w:w="4598"/>
    </w:tblGrid>
    <w:tr w:rsidR="009F3541" w14:paraId="578621FB" w14:textId="77777777" w:rsidTr="00D21535">
      <w:trPr>
        <w:trHeight w:val="278"/>
      </w:trPr>
      <w:tc>
        <w:tcPr>
          <w:tcW w:w="1109" w:type="dxa"/>
          <w:shd w:val="clear" w:color="auto" w:fill="auto"/>
        </w:tcPr>
        <w:p w14:paraId="7C2899A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Ente</w:t>
          </w:r>
        </w:p>
      </w:tc>
      <w:tc>
        <w:tcPr>
          <w:tcW w:w="3009" w:type="dxa"/>
          <w:shd w:val="clear" w:color="auto" w:fill="auto"/>
        </w:tcPr>
        <w:p w14:paraId="3C9A81D7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  <w:tc>
        <w:tcPr>
          <w:tcW w:w="1432" w:type="dxa"/>
          <w:shd w:val="clear" w:color="auto" w:fill="auto"/>
        </w:tcPr>
        <w:p w14:paraId="0E73F28B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Luogo e data</w:t>
          </w:r>
        </w:p>
      </w:tc>
      <w:tc>
        <w:tcPr>
          <w:tcW w:w="2082" w:type="dxa"/>
          <w:shd w:val="clear" w:color="auto" w:fill="auto"/>
        </w:tcPr>
        <w:p w14:paraId="112C8562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  <w:tc>
        <w:tcPr>
          <w:tcW w:w="2357" w:type="dxa"/>
          <w:shd w:val="clear" w:color="auto" w:fill="auto"/>
        </w:tcPr>
        <w:p w14:paraId="7405ADA1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Incaricato del Controllo</w:t>
          </w:r>
        </w:p>
      </w:tc>
      <w:tc>
        <w:tcPr>
          <w:tcW w:w="4598" w:type="dxa"/>
          <w:shd w:val="clear" w:color="auto" w:fill="auto"/>
        </w:tcPr>
        <w:p w14:paraId="18E3001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</w:tr>
  </w:tbl>
  <w:p w14:paraId="510FDE3B" w14:textId="77777777" w:rsidR="009F3541" w:rsidRDefault="009F354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7446D" w14:textId="77777777" w:rsidR="001E15F3" w:rsidRDefault="001E15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5F676" w14:textId="77777777" w:rsidR="000418EB" w:rsidRDefault="000418EB" w:rsidP="009F3541">
      <w:pPr>
        <w:spacing w:after="0" w:line="240" w:lineRule="auto"/>
      </w:pPr>
      <w:r>
        <w:separator/>
      </w:r>
    </w:p>
  </w:footnote>
  <w:footnote w:type="continuationSeparator" w:id="0">
    <w:p w14:paraId="6C8F7E5C" w14:textId="77777777" w:rsidR="000418EB" w:rsidRDefault="000418EB" w:rsidP="009F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A0E0B" w14:textId="119E9A10" w:rsidR="009F3541" w:rsidRDefault="001D0BA2">
    <w:pPr>
      <w:pStyle w:val="Intestazione"/>
    </w:pPr>
    <w:r>
      <w:rPr>
        <w:noProof/>
      </w:rPr>
      <w:pict w14:anchorId="63D586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92797" o:spid="_x0000_s8194" type="#_x0000_t136" style="position:absolute;margin-left:0;margin-top:0;width:388.25pt;height:291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5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3458"/>
      <w:gridCol w:w="1106"/>
      <w:gridCol w:w="2688"/>
      <w:gridCol w:w="1975"/>
      <w:gridCol w:w="3933"/>
    </w:tblGrid>
    <w:tr w:rsidR="009F3541" w:rsidRPr="00AB71AC" w14:paraId="365F5F68" w14:textId="77777777" w:rsidTr="00D21535">
      <w:trPr>
        <w:trHeight w:val="412"/>
      </w:trPr>
      <w:tc>
        <w:tcPr>
          <w:tcW w:w="14550" w:type="dxa"/>
          <w:gridSpan w:val="6"/>
          <w:shd w:val="clear" w:color="auto" w:fill="auto"/>
        </w:tcPr>
        <w:p w14:paraId="6D84F56C" w14:textId="678827C9" w:rsidR="009F3541" w:rsidRPr="00AB71AC" w:rsidRDefault="001D0BA2" w:rsidP="009F3541">
          <w:pPr>
            <w:rPr>
              <w:rFonts w:ascii="Arial" w:hAnsi="Arial" w:cs="Tahoma"/>
              <w:sz w:val="20"/>
            </w:rPr>
          </w:pPr>
          <w:r>
            <w:rPr>
              <w:noProof/>
            </w:rPr>
            <w:pict w14:anchorId="29BA34CB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77392798" o:spid="_x0000_s8195" type="#_x0000_t136" style="position:absolute;margin-left:0;margin-top:0;width:388.25pt;height:291.15pt;rotation:315;z-index:-25165312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AGEA"/>
              </v:shape>
            </w:pict>
          </w:r>
          <w:r w:rsidR="009F3541" w:rsidRPr="00AB71AC">
            <w:rPr>
              <w:rFonts w:ascii="Arial" w:hAnsi="Arial" w:cs="Tahoma"/>
              <w:b/>
              <w:bCs/>
              <w:sz w:val="20"/>
            </w:rPr>
            <w:t>CHECK LIST PER LE PROCEDURE DI GARA PER APPALTI PUBBLICI DI LAVORI, SERVIZI E FORNITURE</w:t>
          </w:r>
          <w:r w:rsidR="009F3541" w:rsidRPr="00AB71AC">
            <w:rPr>
              <w:rFonts w:ascii="Arial" w:hAnsi="Arial" w:cs="Tahoma"/>
              <w:sz w:val="20"/>
            </w:rPr>
            <w:t xml:space="preserve"> (</w:t>
          </w:r>
          <w:proofErr w:type="spellStart"/>
          <w:r w:rsidR="009F3541" w:rsidRPr="00AB71AC">
            <w:rPr>
              <w:rFonts w:ascii="Arial" w:hAnsi="Arial" w:cs="Tahoma"/>
              <w:sz w:val="20"/>
            </w:rPr>
            <w:t>D.Lgs.</w:t>
          </w:r>
          <w:proofErr w:type="spellEnd"/>
          <w:r w:rsidR="009F3541" w:rsidRPr="00AB71AC">
            <w:rPr>
              <w:rFonts w:ascii="Arial" w:hAnsi="Arial" w:cs="Tahoma"/>
              <w:sz w:val="20"/>
            </w:rPr>
            <w:t xml:space="preserve"> 31 marzo 2023, n. 36 e </w:t>
          </w:r>
          <w:proofErr w:type="spellStart"/>
          <w:r w:rsidR="009F3541" w:rsidRPr="00AB71AC">
            <w:rPr>
              <w:rFonts w:ascii="Arial" w:hAnsi="Arial" w:cs="Tahoma"/>
              <w:sz w:val="20"/>
            </w:rPr>
            <w:t>s.m.i.</w:t>
          </w:r>
          <w:proofErr w:type="spellEnd"/>
          <w:r w:rsidR="009F3541" w:rsidRPr="00AB71AC">
            <w:rPr>
              <w:rFonts w:ascii="Arial" w:hAnsi="Arial" w:cs="Tahoma"/>
              <w:sz w:val="20"/>
            </w:rPr>
            <w:t>)</w:t>
          </w:r>
        </w:p>
        <w:p w14:paraId="20C811CB" w14:textId="3314E7BD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Fase: AUTOVALUTAZIONE / CONTROLLO                                                                                                                           vers. 3.</w:t>
          </w:r>
          <w:r w:rsidR="001E15F3">
            <w:rPr>
              <w:rFonts w:ascii="Arial" w:hAnsi="Arial" w:cs="Tahoma"/>
              <w:sz w:val="20"/>
            </w:rPr>
            <w:t>1</w:t>
          </w:r>
          <w:r w:rsidRPr="00AB71AC">
            <w:rPr>
              <w:rFonts w:ascii="Arial" w:hAnsi="Arial" w:cs="Tahoma"/>
              <w:sz w:val="20"/>
            </w:rPr>
            <w:t xml:space="preserve"> </w:t>
          </w:r>
        </w:p>
      </w:tc>
    </w:tr>
    <w:tr w:rsidR="009F3541" w:rsidRPr="00AB71AC" w14:paraId="0579B124" w14:textId="77777777" w:rsidTr="00E54FA0">
      <w:trPr>
        <w:trHeight w:val="412"/>
      </w:trPr>
      <w:tc>
        <w:tcPr>
          <w:tcW w:w="1390" w:type="dxa"/>
          <w:shd w:val="clear" w:color="auto" w:fill="auto"/>
        </w:tcPr>
        <w:p w14:paraId="03DBD747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Programma</w:t>
          </w:r>
        </w:p>
      </w:tc>
      <w:tc>
        <w:tcPr>
          <w:tcW w:w="3458" w:type="dxa"/>
          <w:shd w:val="clear" w:color="auto" w:fill="auto"/>
        </w:tcPr>
        <w:p w14:paraId="23DE5EA4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PSP regione X</w:t>
          </w:r>
        </w:p>
      </w:tc>
      <w:tc>
        <w:tcPr>
          <w:tcW w:w="1106" w:type="dxa"/>
          <w:shd w:val="clear" w:color="auto" w:fill="auto"/>
        </w:tcPr>
        <w:p w14:paraId="24E174A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Intervento</w:t>
          </w:r>
        </w:p>
      </w:tc>
      <w:tc>
        <w:tcPr>
          <w:tcW w:w="2688" w:type="dxa"/>
          <w:shd w:val="clear" w:color="auto" w:fill="auto"/>
        </w:tcPr>
        <w:p w14:paraId="7843D6B1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X</w:t>
          </w:r>
        </w:p>
      </w:tc>
      <w:tc>
        <w:tcPr>
          <w:tcW w:w="1975" w:type="dxa"/>
          <w:shd w:val="clear" w:color="auto" w:fill="auto"/>
        </w:tcPr>
        <w:p w14:paraId="5D9049D2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Descrizione procedura</w:t>
          </w:r>
        </w:p>
      </w:tc>
      <w:tc>
        <w:tcPr>
          <w:tcW w:w="3933" w:type="dxa"/>
          <w:shd w:val="clear" w:color="auto" w:fill="auto"/>
        </w:tcPr>
        <w:p w14:paraId="036CF182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</w:p>
      </w:tc>
    </w:tr>
    <w:tr w:rsidR="009F3541" w:rsidRPr="00AB71AC" w14:paraId="3436E104" w14:textId="77777777" w:rsidTr="00E54FA0">
      <w:trPr>
        <w:trHeight w:val="447"/>
      </w:trPr>
      <w:tc>
        <w:tcPr>
          <w:tcW w:w="1390" w:type="dxa"/>
          <w:shd w:val="clear" w:color="auto" w:fill="auto"/>
        </w:tcPr>
        <w:p w14:paraId="288D6C4D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>Beneficiario</w:t>
          </w:r>
        </w:p>
      </w:tc>
      <w:tc>
        <w:tcPr>
          <w:tcW w:w="3458" w:type="dxa"/>
          <w:shd w:val="clear" w:color="auto" w:fill="auto"/>
        </w:tcPr>
        <w:p w14:paraId="54807E9E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Beneficiario pubblico</w:t>
          </w:r>
        </w:p>
      </w:tc>
      <w:tc>
        <w:tcPr>
          <w:tcW w:w="1106" w:type="dxa"/>
          <w:shd w:val="clear" w:color="auto" w:fill="auto"/>
        </w:tcPr>
        <w:p w14:paraId="60865986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ds</w:t>
          </w:r>
          <w:proofErr w:type="spellEnd"/>
        </w:p>
      </w:tc>
      <w:tc>
        <w:tcPr>
          <w:tcW w:w="2688" w:type="dxa"/>
          <w:shd w:val="clear" w:color="auto" w:fill="auto"/>
        </w:tcPr>
        <w:p w14:paraId="1D2559A0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 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  <w:tc>
        <w:tcPr>
          <w:tcW w:w="1975" w:type="dxa"/>
          <w:shd w:val="clear" w:color="auto" w:fill="auto"/>
        </w:tcPr>
        <w:p w14:paraId="3CEC10D6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n. </w:t>
          </w:r>
          <w:proofErr w:type="spellStart"/>
          <w:r w:rsidRPr="00AB71AC">
            <w:rPr>
              <w:rFonts w:ascii="Arial" w:hAnsi="Arial" w:cs="Tahoma"/>
              <w:sz w:val="20"/>
            </w:rPr>
            <w:t>d.p.</w:t>
          </w:r>
          <w:proofErr w:type="spellEnd"/>
        </w:p>
      </w:tc>
      <w:tc>
        <w:tcPr>
          <w:tcW w:w="3933" w:type="dxa"/>
          <w:shd w:val="clear" w:color="auto" w:fill="auto"/>
        </w:tcPr>
        <w:p w14:paraId="474EC70C" w14:textId="77777777" w:rsidR="009F3541" w:rsidRPr="00AB71AC" w:rsidRDefault="009F3541" w:rsidP="009F3541">
          <w:pPr>
            <w:rPr>
              <w:rFonts w:ascii="Arial" w:hAnsi="Arial" w:cs="Tahoma"/>
              <w:sz w:val="20"/>
            </w:rPr>
          </w:pPr>
          <w:r w:rsidRPr="00AB71AC">
            <w:rPr>
              <w:rFonts w:ascii="Arial" w:hAnsi="Arial" w:cs="Tahoma"/>
              <w:sz w:val="20"/>
            </w:rPr>
            <w:t xml:space="preserve">000000000 </w:t>
          </w:r>
          <w:proofErr w:type="gramStart"/>
          <w:r w:rsidRPr="00AB71AC">
            <w:rPr>
              <w:rFonts w:ascii="Arial" w:hAnsi="Arial" w:cs="Tahoma"/>
              <w:sz w:val="20"/>
            </w:rPr>
            <w:t>del  /</w:t>
          </w:r>
          <w:proofErr w:type="gramEnd"/>
          <w:r w:rsidRPr="00AB71AC">
            <w:rPr>
              <w:rFonts w:ascii="Arial" w:hAnsi="Arial" w:cs="Tahoma"/>
              <w:sz w:val="20"/>
            </w:rPr>
            <w:t>xx/xx/</w:t>
          </w:r>
          <w:proofErr w:type="spellStart"/>
          <w:r w:rsidRPr="00AB71AC">
            <w:rPr>
              <w:rFonts w:ascii="Arial" w:hAnsi="Arial" w:cs="Tahoma"/>
              <w:sz w:val="20"/>
            </w:rPr>
            <w:t>xxxx</w:t>
          </w:r>
          <w:proofErr w:type="spellEnd"/>
        </w:p>
      </w:tc>
    </w:tr>
  </w:tbl>
  <w:p w14:paraId="1B9594A5" w14:textId="4B64042E" w:rsidR="009F3541" w:rsidRDefault="009F354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73A7" w14:textId="377C2C94" w:rsidR="009F3541" w:rsidRDefault="001D0BA2">
    <w:pPr>
      <w:pStyle w:val="Intestazione"/>
    </w:pPr>
    <w:r>
      <w:rPr>
        <w:noProof/>
      </w:rPr>
      <w:pict w14:anchorId="7BBDB2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7392796" o:spid="_x0000_s8193" type="#_x0000_t136" style="position:absolute;margin-left:0;margin-top:0;width:388.25pt;height:29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GE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61123C"/>
    <w:multiLevelType w:val="multilevel"/>
    <w:tmpl w:val="7B18E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9167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55AD"/>
    <w:rsid w:val="000418EB"/>
    <w:rsid w:val="00050E08"/>
    <w:rsid w:val="0005307C"/>
    <w:rsid w:val="000539DC"/>
    <w:rsid w:val="00054D21"/>
    <w:rsid w:val="00123422"/>
    <w:rsid w:val="00150CE1"/>
    <w:rsid w:val="001863A7"/>
    <w:rsid w:val="001B5203"/>
    <w:rsid w:val="001D0BA2"/>
    <w:rsid w:val="001D6432"/>
    <w:rsid w:val="001E15F3"/>
    <w:rsid w:val="0026098D"/>
    <w:rsid w:val="0029049F"/>
    <w:rsid w:val="00293806"/>
    <w:rsid w:val="002A6805"/>
    <w:rsid w:val="002C1238"/>
    <w:rsid w:val="003358BE"/>
    <w:rsid w:val="00342501"/>
    <w:rsid w:val="00354245"/>
    <w:rsid w:val="00451792"/>
    <w:rsid w:val="00483D1F"/>
    <w:rsid w:val="005837A4"/>
    <w:rsid w:val="005D34AB"/>
    <w:rsid w:val="005F4263"/>
    <w:rsid w:val="00601D92"/>
    <w:rsid w:val="0061766B"/>
    <w:rsid w:val="006629D1"/>
    <w:rsid w:val="006F3FC6"/>
    <w:rsid w:val="007405DF"/>
    <w:rsid w:val="0076709B"/>
    <w:rsid w:val="0079072D"/>
    <w:rsid w:val="007D16CB"/>
    <w:rsid w:val="007E320A"/>
    <w:rsid w:val="0083449F"/>
    <w:rsid w:val="00867EC1"/>
    <w:rsid w:val="008B137C"/>
    <w:rsid w:val="008F6F6A"/>
    <w:rsid w:val="00900B73"/>
    <w:rsid w:val="00932E59"/>
    <w:rsid w:val="0094198F"/>
    <w:rsid w:val="00942339"/>
    <w:rsid w:val="009B50FD"/>
    <w:rsid w:val="009D57B2"/>
    <w:rsid w:val="009D7ED3"/>
    <w:rsid w:val="009F3541"/>
    <w:rsid w:val="009F4C4B"/>
    <w:rsid w:val="00A3514B"/>
    <w:rsid w:val="00A74729"/>
    <w:rsid w:val="00A81BDC"/>
    <w:rsid w:val="00A92701"/>
    <w:rsid w:val="00AB526A"/>
    <w:rsid w:val="00AE2F31"/>
    <w:rsid w:val="00B10BB8"/>
    <w:rsid w:val="00B66ECB"/>
    <w:rsid w:val="00B717A2"/>
    <w:rsid w:val="00B755AD"/>
    <w:rsid w:val="00B93147"/>
    <w:rsid w:val="00C7526F"/>
    <w:rsid w:val="00C87275"/>
    <w:rsid w:val="00C938D9"/>
    <w:rsid w:val="00CB19E6"/>
    <w:rsid w:val="00CE3B2A"/>
    <w:rsid w:val="00CE5091"/>
    <w:rsid w:val="00D06162"/>
    <w:rsid w:val="00D50BDC"/>
    <w:rsid w:val="00DE2A42"/>
    <w:rsid w:val="00E54FA0"/>
    <w:rsid w:val="00E57FC1"/>
    <w:rsid w:val="00EA550E"/>
    <w:rsid w:val="00EB07FD"/>
    <w:rsid w:val="00ED7228"/>
    <w:rsid w:val="00EE6EFA"/>
    <w:rsid w:val="00EF62F9"/>
    <w:rsid w:val="00F00618"/>
    <w:rsid w:val="00F1607E"/>
    <w:rsid w:val="00F70B6A"/>
    <w:rsid w:val="00F932F4"/>
    <w:rsid w:val="00F97376"/>
    <w:rsid w:val="00FA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5E223B43"/>
  <w15:docId w15:val="{F4DCA7EC-9F54-4825-B7F7-CCE25CCC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5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F6F6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F3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541"/>
  </w:style>
  <w:style w:type="paragraph" w:styleId="Pidipagina">
    <w:name w:val="footer"/>
    <w:basedOn w:val="Normale"/>
    <w:link w:val="PidipaginaCarattere"/>
    <w:uiPriority w:val="99"/>
    <w:unhideWhenUsed/>
    <w:rsid w:val="009F3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5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Giorgia Corbucci</cp:lastModifiedBy>
  <cp:revision>5</cp:revision>
  <dcterms:created xsi:type="dcterms:W3CDTF">2024-01-18T16:50:00Z</dcterms:created>
  <dcterms:modified xsi:type="dcterms:W3CDTF">2024-03-28T16:11:00Z</dcterms:modified>
</cp:coreProperties>
</file>