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97"/>
        <w:gridCol w:w="1793"/>
        <w:gridCol w:w="2883"/>
        <w:gridCol w:w="2407"/>
        <w:gridCol w:w="3623"/>
      </w:tblGrid>
      <w:tr w:rsidR="00292A80" w14:paraId="1C44C8B8" w14:textId="10CA16CE" w:rsidTr="00292A80">
        <w:trPr>
          <w:cantSplit/>
          <w:tblHeader/>
        </w:trPr>
        <w:tc>
          <w:tcPr>
            <w:tcW w:w="1309" w:type="pct"/>
          </w:tcPr>
          <w:p w14:paraId="737FEB76" w14:textId="77777777" w:rsidR="00292A80" w:rsidRPr="00601F5A" w:rsidRDefault="00292A80" w:rsidP="00601F5A">
            <w:pPr>
              <w:rPr>
                <w:b/>
                <w:sz w:val="20"/>
                <w:szCs w:val="20"/>
              </w:rPr>
            </w:pPr>
            <w:r w:rsidRPr="00601F5A"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618" w:type="pct"/>
          </w:tcPr>
          <w:p w14:paraId="0D78FD4A" w14:textId="77777777" w:rsidR="00292A80" w:rsidRPr="00601F5A" w:rsidRDefault="00292A80" w:rsidP="00601F5A">
            <w:pPr>
              <w:rPr>
                <w:b/>
                <w:sz w:val="20"/>
                <w:szCs w:val="20"/>
              </w:rPr>
            </w:pPr>
            <w:r w:rsidRPr="00601F5A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994" w:type="pct"/>
          </w:tcPr>
          <w:p w14:paraId="7599B740" w14:textId="66792D7C" w:rsidR="00292A80" w:rsidRPr="00601F5A" w:rsidRDefault="00292A80" w:rsidP="00601F5A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</w:tc>
        <w:tc>
          <w:tcPr>
            <w:tcW w:w="830" w:type="pct"/>
          </w:tcPr>
          <w:p w14:paraId="06A7A6B0" w14:textId="77777777" w:rsidR="00292A80" w:rsidRPr="00601F5A" w:rsidRDefault="00292A80" w:rsidP="00601F5A">
            <w:pPr>
              <w:rPr>
                <w:b/>
                <w:sz w:val="20"/>
                <w:szCs w:val="20"/>
              </w:rPr>
            </w:pPr>
            <w:r w:rsidRPr="00601F5A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1249" w:type="pct"/>
          </w:tcPr>
          <w:p w14:paraId="68B253C6" w14:textId="77777777" w:rsidR="00292A80" w:rsidRPr="00601F5A" w:rsidRDefault="00292A80" w:rsidP="00601F5A">
            <w:pPr>
              <w:rPr>
                <w:b/>
                <w:sz w:val="20"/>
                <w:szCs w:val="20"/>
              </w:rPr>
            </w:pPr>
            <w:r w:rsidRPr="00601F5A">
              <w:rPr>
                <w:b/>
                <w:sz w:val="20"/>
                <w:szCs w:val="20"/>
              </w:rPr>
              <w:t>Note</w:t>
            </w:r>
          </w:p>
        </w:tc>
      </w:tr>
      <w:tr w:rsidR="00292A80" w14:paraId="3136AD4D" w14:textId="1E14AF30" w:rsidTr="00292A80">
        <w:trPr>
          <w:cantSplit/>
        </w:trPr>
        <w:tc>
          <w:tcPr>
            <w:tcW w:w="1309" w:type="pct"/>
          </w:tcPr>
          <w:p w14:paraId="15D50301" w14:textId="77777777" w:rsidR="00292A80" w:rsidRPr="0076709B" w:rsidRDefault="00292A80" w:rsidP="00D21535">
            <w:pPr>
              <w:rPr>
                <w:b/>
              </w:rPr>
            </w:pPr>
            <w:r w:rsidRPr="0076709B">
              <w:rPr>
                <w:b/>
              </w:rPr>
              <w:t xml:space="preserve">1. </w:t>
            </w:r>
            <w:r>
              <w:rPr>
                <w:b/>
              </w:rPr>
              <w:t>Programmi triennali e annuali</w:t>
            </w:r>
          </w:p>
          <w:p w14:paraId="27E0EDC5" w14:textId="77777777" w:rsidR="00292A80" w:rsidRPr="008F6F6A" w:rsidRDefault="00292A80" w:rsidP="00D21535">
            <w:r w:rsidRPr="008F6F6A">
              <w:t>1.</w:t>
            </w:r>
            <w:r>
              <w:t>1</w:t>
            </w:r>
            <w:r w:rsidRPr="008F6F6A">
              <w:t xml:space="preserve"> </w:t>
            </w:r>
            <w:r>
              <w:t>In caso di lavori, l’affidamento è previsto nel programma triennale dei lavori pubblici?</w:t>
            </w:r>
          </w:p>
        </w:tc>
        <w:tc>
          <w:tcPr>
            <w:tcW w:w="618" w:type="pct"/>
          </w:tcPr>
          <w:p w14:paraId="7B0E5F14" w14:textId="77777777" w:rsidR="00292A80" w:rsidRDefault="00292A80" w:rsidP="00D21535"/>
          <w:p w14:paraId="71626B2A" w14:textId="77777777" w:rsidR="00292A80" w:rsidRPr="008F6F6A" w:rsidRDefault="00292A80" w:rsidP="00D21535">
            <w:r w:rsidRPr="008F6F6A">
              <w:t xml:space="preserve">Art. </w:t>
            </w:r>
            <w:r>
              <w:t>37, comma 1, lett. a)</w:t>
            </w:r>
            <w:r w:rsidRPr="008F6F6A">
              <w:t xml:space="preserve"> </w:t>
            </w:r>
          </w:p>
        </w:tc>
        <w:tc>
          <w:tcPr>
            <w:tcW w:w="994" w:type="pct"/>
          </w:tcPr>
          <w:p w14:paraId="67B60F7C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001FE0CE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61FFE665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7BA4D761" w14:textId="7D58F20F" w:rsidTr="00292A80">
        <w:trPr>
          <w:cantSplit/>
        </w:trPr>
        <w:tc>
          <w:tcPr>
            <w:tcW w:w="1309" w:type="pct"/>
          </w:tcPr>
          <w:p w14:paraId="19A32776" w14:textId="77777777" w:rsidR="00292A80" w:rsidRPr="00221544" w:rsidRDefault="00292A80" w:rsidP="00D21535">
            <w:r>
              <w:t>1.2. Sempre in caso di lavori, è stato approvato altresì</w:t>
            </w:r>
            <w:r w:rsidRPr="002C303A">
              <w:t xml:space="preserve"> l'elenco annuale che indica i lavori da avviare nella prima annualità e specifica per ogni opera la fonte di finanziamento, stanziata nello stato di previsione o nel bilancio o comunque disponibile</w:t>
            </w:r>
            <w:r>
              <w:t>?</w:t>
            </w:r>
          </w:p>
        </w:tc>
        <w:tc>
          <w:tcPr>
            <w:tcW w:w="618" w:type="pct"/>
          </w:tcPr>
          <w:p w14:paraId="232D8E18" w14:textId="77777777" w:rsidR="00292A80" w:rsidRDefault="00292A80" w:rsidP="00D21535">
            <w:r w:rsidRPr="002C303A">
              <w:t>Art. 37, comm</w:t>
            </w:r>
            <w:r>
              <w:t>a 1, lett. b)</w:t>
            </w:r>
          </w:p>
        </w:tc>
        <w:tc>
          <w:tcPr>
            <w:tcW w:w="994" w:type="pct"/>
          </w:tcPr>
          <w:p w14:paraId="25B0F959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05AB853C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20230C8A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01DAD19D" w14:textId="6BD82D13" w:rsidTr="00292A80">
        <w:trPr>
          <w:cantSplit/>
        </w:trPr>
        <w:tc>
          <w:tcPr>
            <w:tcW w:w="1309" w:type="pct"/>
          </w:tcPr>
          <w:p w14:paraId="7DE7AEDA" w14:textId="77777777" w:rsidR="00292A80" w:rsidRDefault="00292A80" w:rsidP="00D21535">
            <w:r>
              <w:t xml:space="preserve">1.3. Nel caso di lavori il cui importo si stima pari o superiore a 150.000 euro, essi sono menzionati nel </w:t>
            </w:r>
            <w:r w:rsidRPr="00221544">
              <w:t xml:space="preserve">programma triennale dei lavori pubblici e </w:t>
            </w:r>
            <w:r>
              <w:t>ne</w:t>
            </w:r>
            <w:r w:rsidRPr="00221544">
              <w:t xml:space="preserve">i </w:t>
            </w:r>
            <w:r>
              <w:t>relativi aggiornamenti annuali?</w:t>
            </w:r>
          </w:p>
        </w:tc>
        <w:tc>
          <w:tcPr>
            <w:tcW w:w="618" w:type="pct"/>
          </w:tcPr>
          <w:p w14:paraId="3C2BE2E6" w14:textId="77777777" w:rsidR="00292A80" w:rsidRPr="002C303A" w:rsidRDefault="00292A80" w:rsidP="00D21535">
            <w:r>
              <w:t>Art. 37, comma 2</w:t>
            </w:r>
          </w:p>
        </w:tc>
        <w:tc>
          <w:tcPr>
            <w:tcW w:w="994" w:type="pct"/>
          </w:tcPr>
          <w:p w14:paraId="7AAC5536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5F7A404B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70016DB6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4226AE79" w14:textId="2D2F2C00" w:rsidTr="00292A80">
        <w:trPr>
          <w:cantSplit/>
        </w:trPr>
        <w:tc>
          <w:tcPr>
            <w:tcW w:w="1309" w:type="pct"/>
          </w:tcPr>
          <w:p w14:paraId="42A81621" w14:textId="77777777" w:rsidR="00292A80" w:rsidRDefault="00292A80" w:rsidP="00D21535">
            <w:r>
              <w:lastRenderedPageBreak/>
              <w:t>1.4. Nel caso di</w:t>
            </w:r>
            <w:r w:rsidRPr="00221544">
              <w:t xml:space="preserve"> lavori di importo pari o superiore alla soglia di rilevanza e</w:t>
            </w:r>
            <w:r>
              <w:t>uropea di cui all'articolo 14, essi</w:t>
            </w:r>
            <w:r w:rsidRPr="00221544">
              <w:t xml:space="preserve"> sono inseriti nell'elenco triennale dopo l'approvazione del documento di fattibilità delle alternative progettuali e nell'elenco annuale dopo l'approvazione del documento di</w:t>
            </w:r>
            <w:r>
              <w:t xml:space="preserve"> indirizzo della progettazione? Nel caso di</w:t>
            </w:r>
            <w:r w:rsidRPr="00221544">
              <w:t xml:space="preserve"> lavori di manutenzione ordinaria superiori alla soglia </w:t>
            </w:r>
            <w:r>
              <w:t xml:space="preserve">dell’articolo 14 essi </w:t>
            </w:r>
            <w:r w:rsidRPr="00221544">
              <w:t>sono inseriti nell'elenco triennale anche in assenza del documento di fattibilità delle alternative progettuali</w:t>
            </w:r>
            <w:r>
              <w:t>?</w:t>
            </w:r>
          </w:p>
        </w:tc>
        <w:tc>
          <w:tcPr>
            <w:tcW w:w="618" w:type="pct"/>
          </w:tcPr>
          <w:p w14:paraId="4565BC45" w14:textId="77777777" w:rsidR="00292A80" w:rsidRPr="002C303A" w:rsidRDefault="00292A80" w:rsidP="00D21535">
            <w:r>
              <w:t>Art. 37, comma 2</w:t>
            </w:r>
          </w:p>
        </w:tc>
        <w:tc>
          <w:tcPr>
            <w:tcW w:w="994" w:type="pct"/>
          </w:tcPr>
          <w:p w14:paraId="6AF46A19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05F1291D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0FC2E061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4F333957" w14:textId="6FCE3DF6" w:rsidTr="00292A80">
        <w:trPr>
          <w:cantSplit/>
        </w:trPr>
        <w:tc>
          <w:tcPr>
            <w:tcW w:w="1309" w:type="pct"/>
          </w:tcPr>
          <w:p w14:paraId="61002B80" w14:textId="77777777" w:rsidR="00292A80" w:rsidRPr="008F6F6A" w:rsidRDefault="00292A80" w:rsidP="00D21535">
            <w:r>
              <w:t>1.5. I</w:t>
            </w:r>
            <w:r w:rsidRPr="002C303A">
              <w:t>n caso di</w:t>
            </w:r>
            <w:r>
              <w:t xml:space="preserve"> servizi e forniture</w:t>
            </w:r>
            <w:r w:rsidRPr="002C303A">
              <w:t xml:space="preserve">, l’affidamento è previsto nel programma triennale </w:t>
            </w:r>
            <w:r>
              <w:t>degli acquisti di beni e servizi?</w:t>
            </w:r>
          </w:p>
        </w:tc>
        <w:tc>
          <w:tcPr>
            <w:tcW w:w="618" w:type="pct"/>
          </w:tcPr>
          <w:p w14:paraId="5E91BBA5" w14:textId="77777777" w:rsidR="00292A80" w:rsidRPr="008F6F6A" w:rsidRDefault="00292A80" w:rsidP="00D21535">
            <w:r w:rsidRPr="002C303A">
              <w:t>Art. 37, comma 1, lett. a)</w:t>
            </w:r>
          </w:p>
        </w:tc>
        <w:tc>
          <w:tcPr>
            <w:tcW w:w="994" w:type="pct"/>
          </w:tcPr>
          <w:p w14:paraId="17D8833C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3235EAB9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597A9857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2DC36074" w14:textId="2496FDA1" w:rsidTr="00292A80">
        <w:trPr>
          <w:cantSplit/>
        </w:trPr>
        <w:tc>
          <w:tcPr>
            <w:tcW w:w="1309" w:type="pct"/>
          </w:tcPr>
          <w:p w14:paraId="7B2BA27B" w14:textId="77777777" w:rsidR="00292A80" w:rsidRDefault="00292A80" w:rsidP="00D21535">
            <w:r>
              <w:t>1.6. Nel caso di acquisti di beni e servizi di importo stimato pari o superiore a 140.000 euro, essi sono menzionati ne</w:t>
            </w:r>
            <w:r w:rsidRPr="002008AB">
              <w:t>l programma triennale di acquisti di beni e servizi e</w:t>
            </w:r>
            <w:r>
              <w:t xml:space="preserve"> ne</w:t>
            </w:r>
            <w:r w:rsidRPr="002008AB">
              <w:t xml:space="preserve">i </w:t>
            </w:r>
            <w:r>
              <w:t>relativi aggiornamenti annuali?</w:t>
            </w:r>
          </w:p>
        </w:tc>
        <w:tc>
          <w:tcPr>
            <w:tcW w:w="618" w:type="pct"/>
          </w:tcPr>
          <w:p w14:paraId="54054DC1" w14:textId="77777777" w:rsidR="00292A80" w:rsidRPr="002C303A" w:rsidRDefault="00292A80" w:rsidP="00D21535">
            <w:r>
              <w:t>Art. 37, comma 3</w:t>
            </w:r>
          </w:p>
        </w:tc>
        <w:tc>
          <w:tcPr>
            <w:tcW w:w="994" w:type="pct"/>
          </w:tcPr>
          <w:p w14:paraId="6A84D5BA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5DAED401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17082014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0C67B674" w14:textId="6BBF1BD2" w:rsidTr="00292A80">
        <w:trPr>
          <w:cantSplit/>
        </w:trPr>
        <w:tc>
          <w:tcPr>
            <w:tcW w:w="1309" w:type="pct"/>
          </w:tcPr>
          <w:p w14:paraId="3B581D07" w14:textId="1DC2D617" w:rsidR="00292A80" w:rsidRDefault="00292A80" w:rsidP="00D21535">
            <w:r>
              <w:lastRenderedPageBreak/>
              <w:t xml:space="preserve">1.7 Gli schemi tipo della programmazione,  gli ordini di priorità degli interventi, le condizioni </w:t>
            </w:r>
            <w:r w:rsidRPr="008B2CBC">
              <w:t>che consentono di modificare la programmazione e le forme di pubblicità sono</w:t>
            </w:r>
            <w:r>
              <w:t xml:space="preserve"> conformi a quanto previsto dall’Allegato I.5?</w:t>
            </w:r>
          </w:p>
        </w:tc>
        <w:tc>
          <w:tcPr>
            <w:tcW w:w="618" w:type="pct"/>
          </w:tcPr>
          <w:p w14:paraId="3E5E7C0C" w14:textId="77777777" w:rsidR="00292A80" w:rsidRDefault="00292A80" w:rsidP="00D21535">
            <w:r>
              <w:t>Art. 37, comma 6</w:t>
            </w:r>
          </w:p>
          <w:p w14:paraId="49C99E6B" w14:textId="77777777" w:rsidR="00292A80" w:rsidRDefault="00292A80" w:rsidP="00D21535">
            <w:r>
              <w:t>Allegato I.5</w:t>
            </w:r>
          </w:p>
        </w:tc>
        <w:tc>
          <w:tcPr>
            <w:tcW w:w="994" w:type="pct"/>
          </w:tcPr>
          <w:p w14:paraId="56CF4257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56B335EB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342862EC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7F78545C" w14:textId="1DB2A5C0" w:rsidTr="00292A80">
        <w:trPr>
          <w:cantSplit/>
        </w:trPr>
        <w:tc>
          <w:tcPr>
            <w:tcW w:w="1309" w:type="pct"/>
          </w:tcPr>
          <w:p w14:paraId="01CF34E5" w14:textId="77777777" w:rsidR="00292A80" w:rsidRPr="0076709B" w:rsidRDefault="00292A80" w:rsidP="00D21535">
            <w:pPr>
              <w:rPr>
                <w:b/>
              </w:rPr>
            </w:pPr>
            <w:r w:rsidRPr="0076709B">
              <w:rPr>
                <w:b/>
              </w:rPr>
              <w:t xml:space="preserve">2. </w:t>
            </w:r>
            <w:r>
              <w:rPr>
                <w:b/>
              </w:rPr>
              <w:t>Progetto di fattibilità tecnica ed economica e localizzazione dell’opera</w:t>
            </w:r>
          </w:p>
          <w:p w14:paraId="052CE3E0" w14:textId="77777777" w:rsidR="00292A80" w:rsidRPr="008F6F6A" w:rsidRDefault="00292A80" w:rsidP="00D21535">
            <w:r>
              <w:t>2.1. A</w:t>
            </w:r>
            <w:r w:rsidRPr="00CE5AB7">
              <w:t xml:space="preserve">i fini dell'approvazione del progetto di fattibilità tecnica ed economica nonché </w:t>
            </w:r>
            <w:r>
              <w:t>della localizzazione dell'opera è stata convocata la conferenza dei servizi semplificata e seguito il procedimento di cui all’art. 38?</w:t>
            </w:r>
          </w:p>
        </w:tc>
        <w:tc>
          <w:tcPr>
            <w:tcW w:w="618" w:type="pct"/>
          </w:tcPr>
          <w:p w14:paraId="262EC213" w14:textId="77777777" w:rsidR="00292A80" w:rsidRDefault="00292A80" w:rsidP="00D21535"/>
          <w:p w14:paraId="6AD81820" w14:textId="77777777" w:rsidR="00292A80" w:rsidRDefault="00292A80" w:rsidP="00D21535"/>
          <w:p w14:paraId="7F226E48" w14:textId="77777777" w:rsidR="00292A80" w:rsidRPr="008F6F6A" w:rsidRDefault="00292A80" w:rsidP="00D21535">
            <w:r w:rsidRPr="008F6F6A">
              <w:t xml:space="preserve">Art. </w:t>
            </w:r>
            <w:r>
              <w:t>38</w:t>
            </w:r>
          </w:p>
        </w:tc>
        <w:tc>
          <w:tcPr>
            <w:tcW w:w="994" w:type="pct"/>
          </w:tcPr>
          <w:p w14:paraId="66EDC2E7" w14:textId="77777777" w:rsidR="00292A80" w:rsidRPr="008F6F6A" w:rsidRDefault="00292A80" w:rsidP="00D21535"/>
        </w:tc>
        <w:tc>
          <w:tcPr>
            <w:tcW w:w="830" w:type="pct"/>
          </w:tcPr>
          <w:p w14:paraId="5156EE2E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0EFC488F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493C844F" w14:textId="5B35B621" w:rsidTr="00292A80">
        <w:trPr>
          <w:cantSplit/>
        </w:trPr>
        <w:tc>
          <w:tcPr>
            <w:tcW w:w="1309" w:type="pct"/>
          </w:tcPr>
          <w:p w14:paraId="46495963" w14:textId="77777777" w:rsidR="00292A80" w:rsidRPr="00757E39" w:rsidRDefault="00292A80" w:rsidP="00D21535">
            <w:pPr>
              <w:rPr>
                <w:b/>
              </w:rPr>
            </w:pPr>
            <w:r w:rsidRPr="00757E39">
              <w:rPr>
                <w:b/>
              </w:rPr>
              <w:lastRenderedPageBreak/>
              <w:t>3. Infrastrutture strategiche di preminente interesse nazionale</w:t>
            </w:r>
          </w:p>
          <w:p w14:paraId="06F7107F" w14:textId="77777777" w:rsidR="00292A80" w:rsidRPr="008F6F6A" w:rsidRDefault="00292A80" w:rsidP="00D21535">
            <w:r>
              <w:t xml:space="preserve">3.1. Nel caso di infrastrutture strategiche la cui </w:t>
            </w:r>
            <w:r w:rsidRPr="00757E39">
              <w:t>realizzazione riveste carattere di urgenza e di preminente interesse nazionale ai fini della modernizzazione</w:t>
            </w:r>
            <w:r>
              <w:t xml:space="preserve"> e dello sviluppo della Nazione, sono state seguite le procedure di pianificazione, programmazione e progettazione previste dall’art. 39?</w:t>
            </w:r>
          </w:p>
        </w:tc>
        <w:tc>
          <w:tcPr>
            <w:tcW w:w="618" w:type="pct"/>
          </w:tcPr>
          <w:p w14:paraId="4F409055" w14:textId="77777777" w:rsidR="00292A80" w:rsidRPr="008F6F6A" w:rsidRDefault="00292A80" w:rsidP="00D21535">
            <w:r w:rsidRPr="008F6F6A">
              <w:t xml:space="preserve">Art. </w:t>
            </w:r>
            <w:r>
              <w:t>39</w:t>
            </w:r>
          </w:p>
        </w:tc>
        <w:tc>
          <w:tcPr>
            <w:tcW w:w="994" w:type="pct"/>
          </w:tcPr>
          <w:p w14:paraId="7AEDEF8E" w14:textId="77777777" w:rsidR="00292A80" w:rsidRPr="008F6F6A" w:rsidRDefault="00292A80" w:rsidP="00D21535"/>
        </w:tc>
        <w:tc>
          <w:tcPr>
            <w:tcW w:w="830" w:type="pct"/>
          </w:tcPr>
          <w:p w14:paraId="67E7751E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3584F876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2AF40945" w14:textId="2D676BC6" w:rsidTr="00292A80">
        <w:trPr>
          <w:cantSplit/>
        </w:trPr>
        <w:tc>
          <w:tcPr>
            <w:tcW w:w="1309" w:type="pct"/>
          </w:tcPr>
          <w:p w14:paraId="31ACA271" w14:textId="77777777" w:rsidR="00292A80" w:rsidRPr="0076709B" w:rsidRDefault="00292A80" w:rsidP="00D21535">
            <w:pPr>
              <w:rPr>
                <w:b/>
              </w:rPr>
            </w:pPr>
            <w:r>
              <w:rPr>
                <w:b/>
              </w:rPr>
              <w:t>4</w:t>
            </w:r>
            <w:r w:rsidRPr="0076709B">
              <w:rPr>
                <w:b/>
              </w:rPr>
              <w:t xml:space="preserve">. </w:t>
            </w:r>
            <w:r>
              <w:rPr>
                <w:b/>
              </w:rPr>
              <w:t>Dibattito pubblico</w:t>
            </w:r>
          </w:p>
          <w:p w14:paraId="46E0976D" w14:textId="77777777" w:rsidR="00292A80" w:rsidRDefault="00292A80" w:rsidP="00D21535">
            <w:r>
              <w:t>4.1. Si è svolto il dibattito pubblico, nei casi in cui questo sia obbligatorio?</w:t>
            </w:r>
          </w:p>
        </w:tc>
        <w:tc>
          <w:tcPr>
            <w:tcW w:w="618" w:type="pct"/>
          </w:tcPr>
          <w:p w14:paraId="311E0A4A" w14:textId="77777777" w:rsidR="00292A80" w:rsidRDefault="00292A80" w:rsidP="00D21535"/>
          <w:p w14:paraId="687D7C9E" w14:textId="77777777" w:rsidR="00292A80" w:rsidRDefault="00292A80" w:rsidP="00D21535">
            <w:r>
              <w:t>Art. 40, comma 1</w:t>
            </w:r>
          </w:p>
          <w:p w14:paraId="31229B08" w14:textId="77777777" w:rsidR="00292A80" w:rsidRPr="008F6F6A" w:rsidRDefault="00292A80" w:rsidP="00D21535">
            <w:r>
              <w:t>Allegato I.6</w:t>
            </w:r>
          </w:p>
        </w:tc>
        <w:tc>
          <w:tcPr>
            <w:tcW w:w="994" w:type="pct"/>
          </w:tcPr>
          <w:p w14:paraId="17A24F63" w14:textId="77777777" w:rsidR="00292A80" w:rsidRPr="008F6F6A" w:rsidRDefault="00292A80" w:rsidP="00D21535"/>
        </w:tc>
        <w:tc>
          <w:tcPr>
            <w:tcW w:w="830" w:type="pct"/>
          </w:tcPr>
          <w:p w14:paraId="16438CE1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38803EBF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5C526EC3" w14:textId="21D540C2" w:rsidTr="00292A80">
        <w:trPr>
          <w:cantSplit/>
        </w:trPr>
        <w:tc>
          <w:tcPr>
            <w:tcW w:w="1309" w:type="pct"/>
          </w:tcPr>
          <w:p w14:paraId="6F145469" w14:textId="77777777" w:rsidR="00292A80" w:rsidRPr="00757E39" w:rsidRDefault="00292A80" w:rsidP="00D21535">
            <w:r w:rsidRPr="00757E39">
              <w:t>4.2. Al di fuori dei casi in cui è obbligatorio, la stazione appaltante ha indetto facoltativamente il dibattito pubblico?</w:t>
            </w:r>
          </w:p>
        </w:tc>
        <w:tc>
          <w:tcPr>
            <w:tcW w:w="618" w:type="pct"/>
          </w:tcPr>
          <w:p w14:paraId="79F730C2" w14:textId="77777777" w:rsidR="00292A80" w:rsidRPr="00757E39" w:rsidRDefault="00292A80" w:rsidP="00D21535">
            <w:r w:rsidRPr="00757E39">
              <w:t>Art. 40, comma 1</w:t>
            </w:r>
          </w:p>
          <w:p w14:paraId="1B1682FB" w14:textId="77777777" w:rsidR="00292A80" w:rsidRDefault="00292A80" w:rsidP="00D21535">
            <w:r w:rsidRPr="00757E39">
              <w:t>Allegato I.6</w:t>
            </w:r>
          </w:p>
        </w:tc>
        <w:tc>
          <w:tcPr>
            <w:tcW w:w="994" w:type="pct"/>
          </w:tcPr>
          <w:p w14:paraId="49AB9E71" w14:textId="77777777" w:rsidR="00292A80" w:rsidRPr="008F6F6A" w:rsidRDefault="00292A80" w:rsidP="00D21535"/>
        </w:tc>
        <w:tc>
          <w:tcPr>
            <w:tcW w:w="830" w:type="pct"/>
          </w:tcPr>
          <w:p w14:paraId="66D8AE6E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21A89B16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711B262B" w14:textId="27B9C4F3" w:rsidTr="00292A80">
        <w:trPr>
          <w:cantSplit/>
        </w:trPr>
        <w:tc>
          <w:tcPr>
            <w:tcW w:w="1309" w:type="pct"/>
          </w:tcPr>
          <w:p w14:paraId="61700B86" w14:textId="77777777" w:rsidR="00292A80" w:rsidRPr="00757E39" w:rsidRDefault="00292A80" w:rsidP="00D21535">
            <w:r w:rsidRPr="00757E39">
              <w:t>4.3. Il dibattito pubblico si è svolto secondo le modalità previste dall’art. 40 e dall’Allegato I.6?</w:t>
            </w:r>
          </w:p>
        </w:tc>
        <w:tc>
          <w:tcPr>
            <w:tcW w:w="618" w:type="pct"/>
          </w:tcPr>
          <w:p w14:paraId="227707F8" w14:textId="77777777" w:rsidR="00292A80" w:rsidRPr="00757E39" w:rsidRDefault="00292A80" w:rsidP="00D21535">
            <w:r w:rsidRPr="00757E39">
              <w:t xml:space="preserve">Art. 40, </w:t>
            </w:r>
          </w:p>
          <w:p w14:paraId="4B798B56" w14:textId="77777777" w:rsidR="00292A80" w:rsidRPr="00757E39" w:rsidRDefault="00292A80" w:rsidP="00D21535">
            <w:r w:rsidRPr="00757E39">
              <w:t>Allegato I.6</w:t>
            </w:r>
          </w:p>
        </w:tc>
        <w:tc>
          <w:tcPr>
            <w:tcW w:w="994" w:type="pct"/>
          </w:tcPr>
          <w:p w14:paraId="10E33EB5" w14:textId="77777777" w:rsidR="00292A80" w:rsidRPr="008F6F6A" w:rsidRDefault="00292A80" w:rsidP="00D21535"/>
        </w:tc>
        <w:tc>
          <w:tcPr>
            <w:tcW w:w="830" w:type="pct"/>
          </w:tcPr>
          <w:p w14:paraId="264BC71C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442240C2" w14:textId="77777777" w:rsidR="00292A80" w:rsidRPr="00B755AD" w:rsidRDefault="00292A80" w:rsidP="00D21535">
            <w:pPr>
              <w:rPr>
                <w:b/>
              </w:rPr>
            </w:pPr>
          </w:p>
        </w:tc>
      </w:tr>
    </w:tbl>
    <w:p w14:paraId="0E1FC2C6" w14:textId="77777777" w:rsidR="0029623F" w:rsidRDefault="0029623F" w:rsidP="0029623F"/>
    <w:sectPr w:rsidR="0029623F" w:rsidSect="00C452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628CD" w14:textId="77777777" w:rsidR="00C4520B" w:rsidRDefault="00C4520B" w:rsidP="0029623F">
      <w:pPr>
        <w:spacing w:after="0" w:line="240" w:lineRule="auto"/>
      </w:pPr>
      <w:r>
        <w:separator/>
      </w:r>
    </w:p>
  </w:endnote>
  <w:endnote w:type="continuationSeparator" w:id="0">
    <w:p w14:paraId="44FB3961" w14:textId="77777777" w:rsidR="00C4520B" w:rsidRDefault="00C4520B" w:rsidP="0029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38363" w14:textId="77777777" w:rsidR="00E16A92" w:rsidRDefault="00E16A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29623F" w14:paraId="405FE470" w14:textId="77777777" w:rsidTr="00D21535">
      <w:trPr>
        <w:trHeight w:val="278"/>
      </w:trPr>
      <w:tc>
        <w:tcPr>
          <w:tcW w:w="1109" w:type="dxa"/>
          <w:shd w:val="clear" w:color="auto" w:fill="auto"/>
        </w:tcPr>
        <w:p w14:paraId="439647B9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774A61DD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7B995D6F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45A258CB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00354C20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17B61C14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</w:p>
      </w:tc>
    </w:tr>
  </w:tbl>
  <w:p w14:paraId="5D10C5C9" w14:textId="77777777" w:rsidR="0029623F" w:rsidRPr="0029623F" w:rsidRDefault="0029623F" w:rsidP="0029623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AE05F" w14:textId="77777777" w:rsidR="00E16A92" w:rsidRDefault="00E16A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AD55B" w14:textId="77777777" w:rsidR="00C4520B" w:rsidRDefault="00C4520B" w:rsidP="0029623F">
      <w:pPr>
        <w:spacing w:after="0" w:line="240" w:lineRule="auto"/>
      </w:pPr>
      <w:r>
        <w:separator/>
      </w:r>
    </w:p>
  </w:footnote>
  <w:footnote w:type="continuationSeparator" w:id="0">
    <w:p w14:paraId="2525CD50" w14:textId="77777777" w:rsidR="00C4520B" w:rsidRDefault="00C4520B" w:rsidP="0029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C0EC0" w14:textId="34508970" w:rsidR="00E07298" w:rsidRDefault="00D0046D">
    <w:pPr>
      <w:pStyle w:val="Intestazione"/>
    </w:pPr>
    <w:r>
      <w:rPr>
        <w:noProof/>
      </w:rPr>
      <w:pict w14:anchorId="15107B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14657" o:spid="_x0000_s1026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943"/>
      <w:gridCol w:w="1417"/>
      <w:gridCol w:w="4236"/>
    </w:tblGrid>
    <w:tr w:rsidR="0029623F" w:rsidRPr="00AB71AC" w14:paraId="7101907D" w14:textId="77777777" w:rsidTr="00D21535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1B7D1EBF" w14:textId="7A229DA2" w:rsidR="0029623F" w:rsidRPr="00AB71AC" w:rsidRDefault="00D0046D" w:rsidP="0029623F">
          <w:pPr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315A8E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114658" o:spid="_x0000_s1027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</v:shape>
            </w:pict>
          </w:r>
          <w:r w:rsidR="0029623F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29623F" w:rsidRPr="00AB71AC">
            <w:rPr>
              <w:rFonts w:ascii="Arial" w:hAnsi="Arial" w:cs="Tahoma"/>
              <w:sz w:val="20"/>
            </w:rPr>
            <w:t xml:space="preserve"> (D.Lgs. 31 marzo 2023, n. 36 e s.m.i.)</w:t>
          </w:r>
        </w:p>
        <w:p w14:paraId="2A1133EB" w14:textId="4CFF48CD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0A03CC">
            <w:rPr>
              <w:rFonts w:ascii="Arial" w:hAnsi="Arial" w:cs="Tahoma"/>
              <w:sz w:val="20"/>
            </w:rPr>
            <w:t>1</w:t>
          </w:r>
          <w:r w:rsidRPr="00AB71AC">
            <w:rPr>
              <w:rFonts w:ascii="Arial" w:hAnsi="Arial" w:cs="Tahoma"/>
              <w:sz w:val="20"/>
            </w:rPr>
            <w:t xml:space="preserve"> </w:t>
          </w:r>
        </w:p>
      </w:tc>
    </w:tr>
    <w:tr w:rsidR="0029623F" w:rsidRPr="00AB71AC" w14:paraId="6803EDD4" w14:textId="77777777" w:rsidTr="006868C0">
      <w:trPr>
        <w:trHeight w:val="412"/>
      </w:trPr>
      <w:tc>
        <w:tcPr>
          <w:tcW w:w="1390" w:type="dxa"/>
          <w:shd w:val="clear" w:color="auto" w:fill="auto"/>
        </w:tcPr>
        <w:p w14:paraId="64110E9C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7D6A529B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72EFFFA3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943" w:type="dxa"/>
          <w:shd w:val="clear" w:color="auto" w:fill="auto"/>
        </w:tcPr>
        <w:p w14:paraId="7C2F0FD0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417" w:type="dxa"/>
          <w:shd w:val="clear" w:color="auto" w:fill="auto"/>
        </w:tcPr>
        <w:p w14:paraId="347EABA7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4236" w:type="dxa"/>
          <w:shd w:val="clear" w:color="auto" w:fill="auto"/>
        </w:tcPr>
        <w:p w14:paraId="7A8C00B4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</w:p>
      </w:tc>
    </w:tr>
    <w:tr w:rsidR="0029623F" w:rsidRPr="00AB71AC" w14:paraId="3E640133" w14:textId="77777777" w:rsidTr="006868C0">
      <w:trPr>
        <w:trHeight w:val="447"/>
      </w:trPr>
      <w:tc>
        <w:tcPr>
          <w:tcW w:w="1390" w:type="dxa"/>
          <w:shd w:val="clear" w:color="auto" w:fill="auto"/>
        </w:tcPr>
        <w:p w14:paraId="79C7C257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7F778C1F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28477FAB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ds</w:t>
          </w:r>
        </w:p>
      </w:tc>
      <w:tc>
        <w:tcPr>
          <w:tcW w:w="2943" w:type="dxa"/>
          <w:shd w:val="clear" w:color="auto" w:fill="auto"/>
        </w:tcPr>
        <w:p w14:paraId="59F98714" w14:textId="68D17F94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del /xx/xx/xxxx</w:t>
          </w:r>
        </w:p>
      </w:tc>
      <w:tc>
        <w:tcPr>
          <w:tcW w:w="1417" w:type="dxa"/>
          <w:shd w:val="clear" w:color="auto" w:fill="auto"/>
        </w:tcPr>
        <w:p w14:paraId="54C000CD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d.p.</w:t>
          </w:r>
        </w:p>
      </w:tc>
      <w:tc>
        <w:tcPr>
          <w:tcW w:w="4236" w:type="dxa"/>
          <w:shd w:val="clear" w:color="auto" w:fill="auto"/>
        </w:tcPr>
        <w:p w14:paraId="64EB9FF2" w14:textId="50946AC9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000000000 del /xx/xx/xxxx</w:t>
          </w:r>
        </w:p>
      </w:tc>
    </w:tr>
  </w:tbl>
  <w:p w14:paraId="639AB2C8" w14:textId="3E12333A" w:rsidR="0029623F" w:rsidRDefault="0029623F" w:rsidP="002962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61C95" w14:textId="7A4A25FA" w:rsidR="00E07298" w:rsidRDefault="00D0046D">
    <w:pPr>
      <w:pStyle w:val="Intestazione"/>
    </w:pPr>
    <w:r>
      <w:rPr>
        <w:noProof/>
      </w:rPr>
      <w:pict w14:anchorId="591E4B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14656" o:spid="_x0000_s1025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103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50E08"/>
    <w:rsid w:val="0005307C"/>
    <w:rsid w:val="000539DC"/>
    <w:rsid w:val="00054D21"/>
    <w:rsid w:val="000A03CC"/>
    <w:rsid w:val="00150CE1"/>
    <w:rsid w:val="001A0A77"/>
    <w:rsid w:val="002008AB"/>
    <w:rsid w:val="00221544"/>
    <w:rsid w:val="0026098D"/>
    <w:rsid w:val="0029049F"/>
    <w:rsid w:val="00292A80"/>
    <w:rsid w:val="0029623F"/>
    <w:rsid w:val="002A25F8"/>
    <w:rsid w:val="002A6805"/>
    <w:rsid w:val="002C1238"/>
    <w:rsid w:val="002C303A"/>
    <w:rsid w:val="003358BE"/>
    <w:rsid w:val="00342501"/>
    <w:rsid w:val="0045388F"/>
    <w:rsid w:val="005229B6"/>
    <w:rsid w:val="005837A4"/>
    <w:rsid w:val="005A6BB1"/>
    <w:rsid w:val="00601F5A"/>
    <w:rsid w:val="006868C0"/>
    <w:rsid w:val="00742E94"/>
    <w:rsid w:val="00757E39"/>
    <w:rsid w:val="0076709B"/>
    <w:rsid w:val="007B4F21"/>
    <w:rsid w:val="0083449F"/>
    <w:rsid w:val="00867EC1"/>
    <w:rsid w:val="00873376"/>
    <w:rsid w:val="008B2CBC"/>
    <w:rsid w:val="008D59B3"/>
    <w:rsid w:val="008F6F6A"/>
    <w:rsid w:val="00A74729"/>
    <w:rsid w:val="00A81BDC"/>
    <w:rsid w:val="00A908B9"/>
    <w:rsid w:val="00B23DBE"/>
    <w:rsid w:val="00B717A2"/>
    <w:rsid w:val="00B755AD"/>
    <w:rsid w:val="00C4520B"/>
    <w:rsid w:val="00C87275"/>
    <w:rsid w:val="00CE5AB7"/>
    <w:rsid w:val="00D0046D"/>
    <w:rsid w:val="00E07298"/>
    <w:rsid w:val="00E16A92"/>
    <w:rsid w:val="00E57FC1"/>
    <w:rsid w:val="00E8151B"/>
    <w:rsid w:val="00EB07FD"/>
    <w:rsid w:val="00EE6EFA"/>
    <w:rsid w:val="00F00618"/>
    <w:rsid w:val="00F1607E"/>
    <w:rsid w:val="00F97376"/>
    <w:rsid w:val="00FA0531"/>
    <w:rsid w:val="00F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1135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6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23F"/>
  </w:style>
  <w:style w:type="paragraph" w:styleId="Pidipagina">
    <w:name w:val="footer"/>
    <w:basedOn w:val="Normale"/>
    <w:link w:val="PidipaginaCarattere"/>
    <w:uiPriority w:val="99"/>
    <w:unhideWhenUsed/>
    <w:rsid w:val="00296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8</cp:revision>
  <dcterms:created xsi:type="dcterms:W3CDTF">2024-01-22T14:16:00Z</dcterms:created>
  <dcterms:modified xsi:type="dcterms:W3CDTF">2024-03-28T16:06:00Z</dcterms:modified>
</cp:coreProperties>
</file>