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14567" w:type="dxa"/>
        <w:tblLayout w:type="fixed"/>
        <w:tblLook w:val="04A0" w:firstRow="1" w:lastRow="0" w:firstColumn="1" w:lastColumn="0" w:noHBand="0" w:noVBand="1"/>
      </w:tblPr>
      <w:tblGrid>
        <w:gridCol w:w="5098"/>
        <w:gridCol w:w="2268"/>
        <w:gridCol w:w="1814"/>
        <w:gridCol w:w="2268"/>
        <w:gridCol w:w="3119"/>
      </w:tblGrid>
      <w:tr w:rsidR="008F28D4" w:rsidRPr="00241959" w14:paraId="2C0507B1" w14:textId="6F7A2EA4" w:rsidTr="008F28D4">
        <w:trPr>
          <w:cantSplit/>
          <w:tblHeader/>
        </w:trPr>
        <w:tc>
          <w:tcPr>
            <w:tcW w:w="5098" w:type="dxa"/>
          </w:tcPr>
          <w:p w14:paraId="2545D46B" w14:textId="77777777" w:rsidR="008F28D4" w:rsidRPr="00241959" w:rsidRDefault="008F28D4" w:rsidP="008567BE">
            <w:pPr>
              <w:rPr>
                <w:b/>
                <w:sz w:val="20"/>
                <w:szCs w:val="20"/>
              </w:rPr>
            </w:pPr>
            <w:r w:rsidRPr="00F05557">
              <w:rPr>
                <w:b/>
                <w:sz w:val="20"/>
                <w:szCs w:val="20"/>
              </w:rPr>
              <w:t>Descrizione</w:t>
            </w:r>
          </w:p>
        </w:tc>
        <w:tc>
          <w:tcPr>
            <w:tcW w:w="2268" w:type="dxa"/>
          </w:tcPr>
          <w:p w14:paraId="02F2E66A" w14:textId="77777777" w:rsidR="008F28D4" w:rsidRPr="00241959" w:rsidRDefault="008F28D4" w:rsidP="008567BE">
            <w:pPr>
              <w:rPr>
                <w:b/>
                <w:sz w:val="20"/>
                <w:szCs w:val="20"/>
              </w:rPr>
            </w:pPr>
            <w:r w:rsidRPr="00241959">
              <w:rPr>
                <w:b/>
                <w:sz w:val="20"/>
                <w:szCs w:val="20"/>
              </w:rPr>
              <w:t>Riferimenti normativi</w:t>
            </w:r>
          </w:p>
        </w:tc>
        <w:tc>
          <w:tcPr>
            <w:tcW w:w="1814" w:type="dxa"/>
          </w:tcPr>
          <w:p w14:paraId="3B7E264F" w14:textId="0789A288" w:rsidR="008F28D4" w:rsidRPr="00241959" w:rsidRDefault="008F28D4" w:rsidP="008567BE">
            <w:pPr>
              <w:rPr>
                <w:b/>
                <w:sz w:val="20"/>
                <w:szCs w:val="20"/>
              </w:rPr>
            </w:pPr>
            <w:r w:rsidRPr="00241959">
              <w:rPr>
                <w:b/>
                <w:sz w:val="20"/>
                <w:szCs w:val="20"/>
              </w:rPr>
              <w:t>Esito verifica (regolare; Non regolare; Non Pertinente)</w:t>
            </w:r>
          </w:p>
        </w:tc>
        <w:tc>
          <w:tcPr>
            <w:tcW w:w="2268" w:type="dxa"/>
          </w:tcPr>
          <w:p w14:paraId="6E24FE2D" w14:textId="77777777" w:rsidR="008F28D4" w:rsidRPr="00241959" w:rsidRDefault="008F28D4" w:rsidP="008567BE">
            <w:pPr>
              <w:rPr>
                <w:b/>
                <w:sz w:val="20"/>
                <w:szCs w:val="20"/>
              </w:rPr>
            </w:pPr>
            <w:r w:rsidRPr="00241959">
              <w:rPr>
                <w:b/>
                <w:sz w:val="20"/>
                <w:szCs w:val="20"/>
              </w:rPr>
              <w:t>Documenti di riferimento</w:t>
            </w:r>
          </w:p>
        </w:tc>
        <w:tc>
          <w:tcPr>
            <w:tcW w:w="3119" w:type="dxa"/>
          </w:tcPr>
          <w:p w14:paraId="1C38042E" w14:textId="77777777" w:rsidR="008F28D4" w:rsidRPr="00241959" w:rsidRDefault="008F28D4" w:rsidP="008567BE">
            <w:pPr>
              <w:rPr>
                <w:b/>
                <w:sz w:val="20"/>
                <w:szCs w:val="20"/>
              </w:rPr>
            </w:pPr>
            <w:r w:rsidRPr="00241959">
              <w:rPr>
                <w:b/>
                <w:sz w:val="20"/>
                <w:szCs w:val="20"/>
              </w:rPr>
              <w:t>Note</w:t>
            </w:r>
          </w:p>
        </w:tc>
      </w:tr>
      <w:tr w:rsidR="008F28D4" w14:paraId="11BDFE29" w14:textId="13D5C577" w:rsidTr="008F28D4">
        <w:tc>
          <w:tcPr>
            <w:tcW w:w="5098" w:type="dxa"/>
          </w:tcPr>
          <w:p w14:paraId="5804E6DE" w14:textId="77777777" w:rsidR="008F28D4" w:rsidRPr="0076709B" w:rsidRDefault="008F28D4" w:rsidP="008567BE">
            <w:pPr>
              <w:rPr>
                <w:b/>
              </w:rPr>
            </w:pPr>
            <w:r w:rsidRPr="0076709B">
              <w:rPr>
                <w:b/>
              </w:rPr>
              <w:t>1. Soglie</w:t>
            </w:r>
          </w:p>
          <w:p w14:paraId="4F19BD1F" w14:textId="77777777" w:rsidR="008F28D4" w:rsidRPr="008F6F6A" w:rsidRDefault="008F28D4" w:rsidP="008567BE">
            <w:r w:rsidRPr="008F6F6A">
              <w:t>1.</w:t>
            </w:r>
            <w:r>
              <w:t>1</w:t>
            </w:r>
            <w:r w:rsidRPr="008F6F6A">
              <w:t xml:space="preserve"> </w:t>
            </w:r>
            <w:r>
              <w:t>L’importo stimato rientra all’interno delle soglie di rilevanza europea, in base alla tipologia dell’affidamento e alla natura della stazione appaltante o dell’ente concedente?</w:t>
            </w:r>
          </w:p>
        </w:tc>
        <w:tc>
          <w:tcPr>
            <w:tcW w:w="2268" w:type="dxa"/>
          </w:tcPr>
          <w:p w14:paraId="29792C60" w14:textId="77777777" w:rsidR="008F28D4" w:rsidRDefault="008F28D4" w:rsidP="008567BE"/>
          <w:p w14:paraId="28A817BF" w14:textId="77777777" w:rsidR="008F28D4" w:rsidRPr="008F6F6A" w:rsidRDefault="008F28D4" w:rsidP="008567BE">
            <w:r w:rsidRPr="008F6F6A">
              <w:t>Art. 14</w:t>
            </w:r>
            <w:r>
              <w:t>, commi 1 e 2</w:t>
            </w:r>
            <w:r w:rsidRPr="008F6F6A">
              <w:t xml:space="preserve"> </w:t>
            </w:r>
          </w:p>
        </w:tc>
        <w:tc>
          <w:tcPr>
            <w:tcW w:w="1814" w:type="dxa"/>
          </w:tcPr>
          <w:p w14:paraId="53A3CF0E" w14:textId="77777777" w:rsidR="008F28D4" w:rsidRPr="00B755AD" w:rsidRDefault="008F28D4" w:rsidP="008567BE">
            <w:pPr>
              <w:rPr>
                <w:b/>
              </w:rPr>
            </w:pPr>
          </w:p>
        </w:tc>
        <w:tc>
          <w:tcPr>
            <w:tcW w:w="2268" w:type="dxa"/>
          </w:tcPr>
          <w:p w14:paraId="366A12BE" w14:textId="77777777" w:rsidR="008F28D4" w:rsidRPr="00B755AD" w:rsidRDefault="008F28D4" w:rsidP="008567BE">
            <w:pPr>
              <w:rPr>
                <w:b/>
              </w:rPr>
            </w:pPr>
          </w:p>
        </w:tc>
        <w:tc>
          <w:tcPr>
            <w:tcW w:w="3119" w:type="dxa"/>
          </w:tcPr>
          <w:p w14:paraId="1E5DDB97" w14:textId="77777777" w:rsidR="008F28D4" w:rsidRPr="00B755AD" w:rsidRDefault="008F28D4" w:rsidP="008567BE">
            <w:pPr>
              <w:rPr>
                <w:b/>
              </w:rPr>
            </w:pPr>
          </w:p>
        </w:tc>
      </w:tr>
      <w:tr w:rsidR="008F28D4" w14:paraId="75CDEA40" w14:textId="5E2261A4" w:rsidTr="008F28D4">
        <w:tc>
          <w:tcPr>
            <w:tcW w:w="5098" w:type="dxa"/>
          </w:tcPr>
          <w:p w14:paraId="40CC1741" w14:textId="77777777" w:rsidR="008F28D4" w:rsidRPr="008F6F6A" w:rsidRDefault="008F28D4" w:rsidP="00D21535">
            <w:r>
              <w:t>1.2. L’importo appare correttamente calcolato, anche alla luce del divieto di frazionamento artificioso?</w:t>
            </w:r>
          </w:p>
        </w:tc>
        <w:tc>
          <w:tcPr>
            <w:tcW w:w="2268" w:type="dxa"/>
          </w:tcPr>
          <w:p w14:paraId="70A4E078" w14:textId="77777777" w:rsidR="008F28D4" w:rsidRPr="008F6F6A" w:rsidRDefault="008F28D4" w:rsidP="00D21535">
            <w:r>
              <w:t xml:space="preserve">Art. 14, commi 4 e ss. </w:t>
            </w:r>
          </w:p>
        </w:tc>
        <w:tc>
          <w:tcPr>
            <w:tcW w:w="1814" w:type="dxa"/>
          </w:tcPr>
          <w:p w14:paraId="00443CDB" w14:textId="77777777" w:rsidR="008F28D4" w:rsidRPr="00B755AD" w:rsidRDefault="008F28D4" w:rsidP="00D21535">
            <w:pPr>
              <w:rPr>
                <w:b/>
              </w:rPr>
            </w:pPr>
          </w:p>
        </w:tc>
        <w:tc>
          <w:tcPr>
            <w:tcW w:w="2268" w:type="dxa"/>
          </w:tcPr>
          <w:p w14:paraId="02CDE503" w14:textId="77777777" w:rsidR="008F28D4" w:rsidRPr="00B755AD" w:rsidRDefault="008F28D4" w:rsidP="00D21535">
            <w:pPr>
              <w:rPr>
                <w:b/>
              </w:rPr>
            </w:pPr>
          </w:p>
        </w:tc>
        <w:tc>
          <w:tcPr>
            <w:tcW w:w="3119" w:type="dxa"/>
          </w:tcPr>
          <w:p w14:paraId="2FD7686D" w14:textId="77777777" w:rsidR="008F28D4" w:rsidRPr="00B755AD" w:rsidRDefault="008F28D4" w:rsidP="00D21535">
            <w:pPr>
              <w:rPr>
                <w:b/>
              </w:rPr>
            </w:pPr>
          </w:p>
        </w:tc>
      </w:tr>
      <w:tr w:rsidR="008F28D4" w14:paraId="5815DFDD" w14:textId="2F92BBA4" w:rsidTr="008F28D4">
        <w:tc>
          <w:tcPr>
            <w:tcW w:w="5098" w:type="dxa"/>
          </w:tcPr>
          <w:p w14:paraId="77A0831F" w14:textId="77777777" w:rsidR="008F28D4" w:rsidRPr="0076709B" w:rsidRDefault="008F28D4" w:rsidP="00D21535">
            <w:pPr>
              <w:rPr>
                <w:b/>
              </w:rPr>
            </w:pPr>
            <w:r w:rsidRPr="0076709B">
              <w:rPr>
                <w:b/>
              </w:rPr>
              <w:t>2. Interesse transfrontaliero</w:t>
            </w:r>
          </w:p>
          <w:p w14:paraId="63D32F6D" w14:textId="77777777" w:rsidR="008F28D4" w:rsidRPr="008F6F6A" w:rsidRDefault="008F28D4" w:rsidP="00D21535">
            <w:r w:rsidRPr="008F6F6A">
              <w:t>2</w:t>
            </w:r>
            <w:r>
              <w:t>.1</w:t>
            </w:r>
            <w:r w:rsidRPr="008F6F6A">
              <w:t>. È stato accertato un interesse transfrontaliero?</w:t>
            </w:r>
          </w:p>
        </w:tc>
        <w:tc>
          <w:tcPr>
            <w:tcW w:w="2268" w:type="dxa"/>
          </w:tcPr>
          <w:p w14:paraId="6B074888" w14:textId="77777777" w:rsidR="008F28D4" w:rsidRPr="008F6F6A" w:rsidRDefault="008F28D4" w:rsidP="00D21535">
            <w:r w:rsidRPr="008F6F6A">
              <w:t>Art. 48, comma 2</w:t>
            </w:r>
          </w:p>
          <w:p w14:paraId="11767ADA" w14:textId="77777777" w:rsidR="008F28D4" w:rsidRPr="008F6F6A" w:rsidRDefault="008F28D4" w:rsidP="00D21535">
            <w:r w:rsidRPr="008F6F6A">
              <w:t>(per affidamenti nei settori di cui agli artt. 146-152, vedi art. 50, comma 5)</w:t>
            </w:r>
          </w:p>
        </w:tc>
        <w:tc>
          <w:tcPr>
            <w:tcW w:w="1814" w:type="dxa"/>
          </w:tcPr>
          <w:p w14:paraId="0953B0F9" w14:textId="77777777" w:rsidR="008F28D4" w:rsidRPr="008F6F6A" w:rsidRDefault="008F28D4" w:rsidP="00D21535"/>
        </w:tc>
        <w:tc>
          <w:tcPr>
            <w:tcW w:w="2268" w:type="dxa"/>
          </w:tcPr>
          <w:p w14:paraId="21CB4FC6" w14:textId="77777777" w:rsidR="008F28D4" w:rsidRPr="00B755AD" w:rsidRDefault="008F28D4" w:rsidP="00D21535">
            <w:pPr>
              <w:rPr>
                <w:b/>
              </w:rPr>
            </w:pPr>
          </w:p>
        </w:tc>
        <w:tc>
          <w:tcPr>
            <w:tcW w:w="3119" w:type="dxa"/>
          </w:tcPr>
          <w:p w14:paraId="0FC01C99" w14:textId="77777777" w:rsidR="008F28D4" w:rsidRPr="00B755AD" w:rsidRDefault="008F28D4" w:rsidP="00D21535">
            <w:pPr>
              <w:rPr>
                <w:b/>
              </w:rPr>
            </w:pPr>
          </w:p>
        </w:tc>
      </w:tr>
      <w:tr w:rsidR="008F28D4" w14:paraId="3DB2897B" w14:textId="34C3591C" w:rsidTr="008F28D4">
        <w:tc>
          <w:tcPr>
            <w:tcW w:w="5098" w:type="dxa"/>
          </w:tcPr>
          <w:p w14:paraId="5A3A09A9" w14:textId="77777777" w:rsidR="008F28D4" w:rsidRPr="008F6F6A" w:rsidRDefault="008F28D4" w:rsidP="00D21535">
            <w:r>
              <w:t>2.2</w:t>
            </w:r>
            <w:r w:rsidRPr="008F6F6A">
              <w:t>. In caso di accertamento di un interesse transfrontaliero, sono state seguite le procedure ordinarie?</w:t>
            </w:r>
          </w:p>
        </w:tc>
        <w:tc>
          <w:tcPr>
            <w:tcW w:w="2268" w:type="dxa"/>
          </w:tcPr>
          <w:p w14:paraId="7F917334" w14:textId="77777777" w:rsidR="008F28D4" w:rsidRPr="008F6F6A" w:rsidRDefault="008F28D4" w:rsidP="00D21535">
            <w:r w:rsidRPr="008F6F6A">
              <w:t>Art. 48, comma 2</w:t>
            </w:r>
          </w:p>
        </w:tc>
        <w:tc>
          <w:tcPr>
            <w:tcW w:w="1814" w:type="dxa"/>
          </w:tcPr>
          <w:p w14:paraId="09FD97CB" w14:textId="77777777" w:rsidR="008F28D4" w:rsidRPr="008F6F6A" w:rsidRDefault="008F28D4" w:rsidP="00D21535"/>
        </w:tc>
        <w:tc>
          <w:tcPr>
            <w:tcW w:w="2268" w:type="dxa"/>
          </w:tcPr>
          <w:p w14:paraId="14FA0F5F" w14:textId="77777777" w:rsidR="008F28D4" w:rsidRPr="00B755AD" w:rsidRDefault="008F28D4" w:rsidP="00D21535">
            <w:pPr>
              <w:rPr>
                <w:b/>
              </w:rPr>
            </w:pPr>
          </w:p>
        </w:tc>
        <w:tc>
          <w:tcPr>
            <w:tcW w:w="3119" w:type="dxa"/>
          </w:tcPr>
          <w:p w14:paraId="582C7C89" w14:textId="77777777" w:rsidR="008F28D4" w:rsidRPr="00B755AD" w:rsidRDefault="008F28D4" w:rsidP="00D21535">
            <w:pPr>
              <w:rPr>
                <w:b/>
              </w:rPr>
            </w:pPr>
          </w:p>
        </w:tc>
      </w:tr>
      <w:tr w:rsidR="008F28D4" w14:paraId="51FCA8EC" w14:textId="050E226A" w:rsidTr="008F28D4">
        <w:tc>
          <w:tcPr>
            <w:tcW w:w="5098" w:type="dxa"/>
          </w:tcPr>
          <w:p w14:paraId="05511B3D" w14:textId="77777777" w:rsidR="008F28D4" w:rsidRPr="0076709B" w:rsidRDefault="008F28D4" w:rsidP="00D21535">
            <w:pPr>
              <w:rPr>
                <w:b/>
              </w:rPr>
            </w:pPr>
            <w:r w:rsidRPr="0076709B">
              <w:rPr>
                <w:b/>
              </w:rPr>
              <w:t>3. Rotazione</w:t>
            </w:r>
          </w:p>
          <w:p w14:paraId="138EA7B0" w14:textId="77777777" w:rsidR="008F28D4" w:rsidRDefault="008F28D4" w:rsidP="00D21535">
            <w:r>
              <w:t xml:space="preserve">3.1. Nel caso in cui l’affidamento sia consecutivo rispetto ad un precedente affidamento avente a </w:t>
            </w:r>
            <w:r w:rsidRPr="00F00618">
              <w:t xml:space="preserve">oggetto una commessa rientrante nello stesso settore merceologico, oppure nella stessa categoria di opere, oppure </w:t>
            </w:r>
            <w:r>
              <w:t>nello stesso settore di servizi, l’aggiudicatario del nuovo affidamento è l’aggiudicatario uscente del precedente affidamento?</w:t>
            </w:r>
          </w:p>
          <w:p w14:paraId="62C3CB13" w14:textId="77777777" w:rsidR="008F28D4" w:rsidRDefault="008F28D4" w:rsidP="00D21535"/>
        </w:tc>
        <w:tc>
          <w:tcPr>
            <w:tcW w:w="2268" w:type="dxa"/>
          </w:tcPr>
          <w:p w14:paraId="0C528454" w14:textId="77777777" w:rsidR="008F28D4" w:rsidRDefault="008F28D4" w:rsidP="00D21535"/>
          <w:p w14:paraId="54AB379F" w14:textId="77777777" w:rsidR="008F28D4" w:rsidRPr="008F6F6A" w:rsidRDefault="008F28D4" w:rsidP="00D21535">
            <w:r>
              <w:t>Art. 49, comma 2</w:t>
            </w:r>
          </w:p>
        </w:tc>
        <w:tc>
          <w:tcPr>
            <w:tcW w:w="1814" w:type="dxa"/>
          </w:tcPr>
          <w:p w14:paraId="4781B5F0" w14:textId="77777777" w:rsidR="008F28D4" w:rsidRPr="008F6F6A" w:rsidRDefault="008F28D4" w:rsidP="00D21535"/>
        </w:tc>
        <w:tc>
          <w:tcPr>
            <w:tcW w:w="2268" w:type="dxa"/>
          </w:tcPr>
          <w:p w14:paraId="016B9AB4" w14:textId="77777777" w:rsidR="008F28D4" w:rsidRPr="00B755AD" w:rsidRDefault="008F28D4" w:rsidP="00D21535">
            <w:pPr>
              <w:rPr>
                <w:b/>
              </w:rPr>
            </w:pPr>
          </w:p>
        </w:tc>
        <w:tc>
          <w:tcPr>
            <w:tcW w:w="3119" w:type="dxa"/>
          </w:tcPr>
          <w:p w14:paraId="181AAA1C" w14:textId="77777777" w:rsidR="008F28D4" w:rsidRPr="00B755AD" w:rsidRDefault="008F28D4" w:rsidP="00D21535">
            <w:pPr>
              <w:rPr>
                <w:b/>
              </w:rPr>
            </w:pPr>
          </w:p>
        </w:tc>
      </w:tr>
      <w:tr w:rsidR="008F28D4" w14:paraId="54FAE9B3" w14:textId="752AE7A4" w:rsidTr="008F28D4">
        <w:tc>
          <w:tcPr>
            <w:tcW w:w="5098" w:type="dxa"/>
          </w:tcPr>
          <w:p w14:paraId="64E94647" w14:textId="77777777" w:rsidR="008F28D4" w:rsidRDefault="008F28D4" w:rsidP="00D21535">
            <w:r>
              <w:lastRenderedPageBreak/>
              <w:t>3.2. Nel caso in cui l’aggiudicatario del nuovo affidamento sia l’aggiudicatario uscente del precedente affidamento, ricorrono i presupposti previsti per derogare legittimamente al principio di rotazione?</w:t>
            </w:r>
          </w:p>
          <w:p w14:paraId="643A0089" w14:textId="77777777" w:rsidR="008F28D4" w:rsidRDefault="008F28D4" w:rsidP="00D21535"/>
          <w:p w14:paraId="20337372" w14:textId="77777777" w:rsidR="008F28D4" w:rsidRDefault="008F28D4" w:rsidP="00D21535">
            <w:r>
              <w:t>a) la stazione appaltante ha ripartito gli affidamenti in fasce in base al valore economico e le fasce del precedente affidamento e del nuovo affidamento sono diverse</w:t>
            </w:r>
          </w:p>
          <w:p w14:paraId="70E09090" w14:textId="77777777" w:rsidR="008F28D4" w:rsidRDefault="008F28D4" w:rsidP="00D21535"/>
          <w:p w14:paraId="7216CE55" w14:textId="77777777" w:rsidR="008F28D4" w:rsidRDefault="008F28D4" w:rsidP="00D21535">
            <w:r>
              <w:t>b) la stazione appaltante ha fornito motivazione circa il reinvito o il riaffidamento diretto al contraente uscente facendo riferimento a tutti e tre i seguenti fattori: la struttura del mercato, la effettiva assenza di alternative e la accurata esecuzione del precedente contratto</w:t>
            </w:r>
          </w:p>
          <w:p w14:paraId="6FF693FA" w14:textId="77777777" w:rsidR="008F28D4" w:rsidRDefault="008F28D4" w:rsidP="00D21535"/>
          <w:p w14:paraId="6197DCD2" w14:textId="77777777" w:rsidR="008F28D4" w:rsidRDefault="008F28D4" w:rsidP="00D21535">
            <w:r>
              <w:t>c) nel caso di procedure negoziate senza bando di cui all’art. 50, comma 1, lett. c), d) ed e),  la stazione appaltante ha effettuato</w:t>
            </w:r>
            <w:r w:rsidRPr="00E57FC1">
              <w:t> l'indagine di mercato</w:t>
            </w:r>
            <w:r>
              <w:t xml:space="preserve"> prevista</w:t>
            </w:r>
            <w:r w:rsidRPr="00E57FC1">
              <w:t xml:space="preserve"> senza porre limiti al numero di operatori economici in possesso dei requisiti richiesti da invitare alla</w:t>
            </w:r>
            <w:r>
              <w:t xml:space="preserve"> successiva procedura negoziata</w:t>
            </w:r>
          </w:p>
          <w:p w14:paraId="19FF6000" w14:textId="77777777" w:rsidR="008F28D4" w:rsidRDefault="008F28D4" w:rsidP="00D21535"/>
          <w:p w14:paraId="75128F34" w14:textId="77777777" w:rsidR="008F28D4" w:rsidRDefault="008F28D4" w:rsidP="00D21535">
            <w:r>
              <w:lastRenderedPageBreak/>
              <w:t>d) si tratta di affidamento diretto di importo inferiore a 5.000 euro</w:t>
            </w:r>
          </w:p>
          <w:p w14:paraId="640CA85D" w14:textId="77777777" w:rsidR="008F28D4" w:rsidRDefault="008F28D4" w:rsidP="00D21535">
            <w:r>
              <w:t xml:space="preserve"> </w:t>
            </w:r>
          </w:p>
        </w:tc>
        <w:tc>
          <w:tcPr>
            <w:tcW w:w="2268" w:type="dxa"/>
          </w:tcPr>
          <w:p w14:paraId="54A3D5F8" w14:textId="77777777" w:rsidR="008F28D4" w:rsidRDefault="008F28D4" w:rsidP="00D21535">
            <w:r>
              <w:lastRenderedPageBreak/>
              <w:t>Art. 49, commi 3-6</w:t>
            </w:r>
          </w:p>
        </w:tc>
        <w:tc>
          <w:tcPr>
            <w:tcW w:w="1814" w:type="dxa"/>
          </w:tcPr>
          <w:p w14:paraId="2C54714C" w14:textId="77777777" w:rsidR="008F28D4" w:rsidRPr="008F6F6A" w:rsidRDefault="008F28D4" w:rsidP="00D21535"/>
        </w:tc>
        <w:tc>
          <w:tcPr>
            <w:tcW w:w="2268" w:type="dxa"/>
          </w:tcPr>
          <w:p w14:paraId="27DA9DBA" w14:textId="77777777" w:rsidR="008F28D4" w:rsidRPr="00B755AD" w:rsidRDefault="008F28D4" w:rsidP="00D21535">
            <w:pPr>
              <w:rPr>
                <w:b/>
              </w:rPr>
            </w:pPr>
          </w:p>
        </w:tc>
        <w:tc>
          <w:tcPr>
            <w:tcW w:w="3119" w:type="dxa"/>
          </w:tcPr>
          <w:p w14:paraId="08E1AEC8" w14:textId="77777777" w:rsidR="008F28D4" w:rsidRPr="00B755AD" w:rsidRDefault="008F28D4" w:rsidP="00D21535">
            <w:pPr>
              <w:rPr>
                <w:b/>
              </w:rPr>
            </w:pPr>
          </w:p>
        </w:tc>
      </w:tr>
      <w:tr w:rsidR="008F28D4" w14:paraId="29897C70" w14:textId="1064AA67" w:rsidTr="008F28D4">
        <w:tc>
          <w:tcPr>
            <w:tcW w:w="5098" w:type="dxa"/>
          </w:tcPr>
          <w:p w14:paraId="38E456F6" w14:textId="77777777" w:rsidR="008F28D4" w:rsidRPr="0076709B" w:rsidRDefault="008F28D4" w:rsidP="00D21535">
            <w:pPr>
              <w:rPr>
                <w:b/>
              </w:rPr>
            </w:pPr>
            <w:r w:rsidRPr="0076709B">
              <w:rPr>
                <w:b/>
              </w:rPr>
              <w:t>4. Procedura</w:t>
            </w:r>
          </w:p>
          <w:p w14:paraId="2AE8FA87" w14:textId="77777777" w:rsidR="008F28D4" w:rsidRDefault="008F28D4" w:rsidP="00D21535">
            <w:r>
              <w:t>4.1. È stata applicata una procedura fra le seguenti?</w:t>
            </w:r>
          </w:p>
          <w:p w14:paraId="46DFDABE" w14:textId="77777777" w:rsidR="008F28D4" w:rsidRDefault="008F28D4" w:rsidP="00D21535"/>
          <w:p w14:paraId="14D792BA" w14:textId="77777777" w:rsidR="008F28D4" w:rsidRDefault="008F28D4" w:rsidP="00D21535">
            <w:r w:rsidRPr="002A6805">
              <w:t>a) affidamento diretto per lavori di importo inferiore a 150.000 euro, anche senza consultazione di più operatori economici, assicurando che siano scelti soggetti in possesso di documentate esperienze pregresse idonee all'esecuzione delle prestazioni contrattuali anche individuati tra gli iscritti in elenchi o albi istituiti d</w:t>
            </w:r>
            <w:r>
              <w:t>alla stazione appaltante</w:t>
            </w:r>
          </w:p>
          <w:p w14:paraId="2D24AC08" w14:textId="77777777" w:rsidR="008F28D4" w:rsidRPr="002A6805" w:rsidRDefault="008F28D4" w:rsidP="00D21535"/>
          <w:p w14:paraId="72E88D2A" w14:textId="77777777" w:rsidR="008F28D4" w:rsidRPr="002A6805" w:rsidRDefault="008F28D4" w:rsidP="00D21535">
            <w:r w:rsidRPr="002A6805">
              <w:t>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w:t>
            </w:r>
            <w:r>
              <w:t>tuiti dalla stazione appaltante</w:t>
            </w:r>
          </w:p>
          <w:p w14:paraId="5E7C716D" w14:textId="77777777" w:rsidR="008F28D4" w:rsidRDefault="008F28D4" w:rsidP="00D21535"/>
          <w:p w14:paraId="67185576" w14:textId="77777777" w:rsidR="008F28D4" w:rsidRPr="002A6805" w:rsidRDefault="008F28D4" w:rsidP="00D21535">
            <w:r w:rsidRPr="002A6805">
              <w:lastRenderedPageBreak/>
              <w:t xml:space="preserve">c) procedura negoziata senza bando, previa consultazione di almeno cinque operatori economici, ove esistenti, individuati in base a indagini di mercato o tramite elenchi di operatori economici, per i lavori di importo pari o superiore a 150.000 euro </w:t>
            </w:r>
            <w:r>
              <w:t>e inferiore a 1 milione di euro</w:t>
            </w:r>
          </w:p>
          <w:p w14:paraId="2B937B2B" w14:textId="77777777" w:rsidR="008F28D4" w:rsidRDefault="008F28D4" w:rsidP="00D21535"/>
          <w:p w14:paraId="53E8D84B" w14:textId="77777777" w:rsidR="008F28D4" w:rsidRPr="002A6805" w:rsidRDefault="008F28D4" w:rsidP="00D21535">
            <w:r w:rsidRPr="002A6805">
              <w:t>d) procedura negoziata senza bando, previa consultazione di almeno dieci operatori economici, ove esistenti, individuati in base a indagini di mercato o tramite elenchi di operatori economici, per lavori di importo pari o superiore a 1 milione di euro e fino alle soglie di cui all'articolo 14, salva la possibilità di ricorrere alle proc</w:t>
            </w:r>
            <w:r>
              <w:t>edure di scelta del contraente ordinarie previste per gli affidamenti d’importo superiore alle soglie</w:t>
            </w:r>
            <w:r w:rsidRPr="002A6805">
              <w:t>;</w:t>
            </w:r>
          </w:p>
          <w:p w14:paraId="26BE8D83" w14:textId="77777777" w:rsidR="008F28D4" w:rsidRDefault="008F28D4" w:rsidP="00D21535"/>
          <w:p w14:paraId="7747B360" w14:textId="77777777" w:rsidR="008F28D4" w:rsidRDefault="008F28D4" w:rsidP="00D21535">
            <w:r w:rsidRPr="002A6805">
              <w:t>e) procedura negoziata senza bando, previa consultazione di almeno cinque operatori economici, ove esistenti, individuati in base ad indagini di mercato o tramite elenchi di operatori economici, per l'affidamento di servizi e forniture, ivi compresi i servizi di ingegneria e architettura e l'attività di progettazione, di importo pari o superiore a 140.000 euro e fino alle soglie di cui all'articolo 14.</w:t>
            </w:r>
          </w:p>
        </w:tc>
        <w:tc>
          <w:tcPr>
            <w:tcW w:w="2268" w:type="dxa"/>
          </w:tcPr>
          <w:p w14:paraId="14B97372" w14:textId="77777777" w:rsidR="008F28D4" w:rsidRDefault="008F28D4" w:rsidP="00D21535"/>
          <w:p w14:paraId="298EA2C6" w14:textId="77777777" w:rsidR="008F28D4" w:rsidRDefault="008F28D4" w:rsidP="00D21535">
            <w:r>
              <w:t>Art. 50, comma 1</w:t>
            </w:r>
          </w:p>
        </w:tc>
        <w:tc>
          <w:tcPr>
            <w:tcW w:w="1814" w:type="dxa"/>
          </w:tcPr>
          <w:p w14:paraId="60074EE9" w14:textId="77777777" w:rsidR="008F28D4" w:rsidRPr="008F6F6A" w:rsidRDefault="008F28D4" w:rsidP="00D21535"/>
        </w:tc>
        <w:tc>
          <w:tcPr>
            <w:tcW w:w="2268" w:type="dxa"/>
          </w:tcPr>
          <w:p w14:paraId="3E7084D3" w14:textId="77777777" w:rsidR="008F28D4" w:rsidRPr="00B755AD" w:rsidRDefault="008F28D4" w:rsidP="00D21535">
            <w:pPr>
              <w:rPr>
                <w:b/>
              </w:rPr>
            </w:pPr>
          </w:p>
        </w:tc>
        <w:tc>
          <w:tcPr>
            <w:tcW w:w="3119" w:type="dxa"/>
          </w:tcPr>
          <w:p w14:paraId="7DA47781" w14:textId="77777777" w:rsidR="008F28D4" w:rsidRPr="00B755AD" w:rsidRDefault="008F28D4" w:rsidP="00D21535">
            <w:pPr>
              <w:rPr>
                <w:b/>
              </w:rPr>
            </w:pPr>
          </w:p>
        </w:tc>
      </w:tr>
      <w:tr w:rsidR="008F28D4" w14:paraId="26A32362" w14:textId="29BC82D2" w:rsidTr="008F28D4">
        <w:tc>
          <w:tcPr>
            <w:tcW w:w="5098" w:type="dxa"/>
          </w:tcPr>
          <w:p w14:paraId="1A778FCF" w14:textId="77777777" w:rsidR="008F28D4" w:rsidRDefault="008F28D4" w:rsidP="00D21535">
            <w:r>
              <w:lastRenderedPageBreak/>
              <w:t>4.2. La tipologia di procedura applicata è conforme al valore dell’affidamento?</w:t>
            </w:r>
          </w:p>
        </w:tc>
        <w:tc>
          <w:tcPr>
            <w:tcW w:w="2268" w:type="dxa"/>
          </w:tcPr>
          <w:p w14:paraId="77D4B7BC" w14:textId="77777777" w:rsidR="008F28D4" w:rsidRDefault="008F28D4" w:rsidP="00D21535">
            <w:r>
              <w:t>Art. 50, comma 1</w:t>
            </w:r>
          </w:p>
        </w:tc>
        <w:tc>
          <w:tcPr>
            <w:tcW w:w="1814" w:type="dxa"/>
          </w:tcPr>
          <w:p w14:paraId="3699A8B3" w14:textId="77777777" w:rsidR="008F28D4" w:rsidRPr="008F6F6A" w:rsidRDefault="008F28D4" w:rsidP="00D21535"/>
        </w:tc>
        <w:tc>
          <w:tcPr>
            <w:tcW w:w="2268" w:type="dxa"/>
          </w:tcPr>
          <w:p w14:paraId="2394EE3D" w14:textId="77777777" w:rsidR="008F28D4" w:rsidRPr="00B755AD" w:rsidRDefault="008F28D4" w:rsidP="00D21535">
            <w:pPr>
              <w:rPr>
                <w:b/>
              </w:rPr>
            </w:pPr>
          </w:p>
        </w:tc>
        <w:tc>
          <w:tcPr>
            <w:tcW w:w="3119" w:type="dxa"/>
          </w:tcPr>
          <w:p w14:paraId="2384544F" w14:textId="77777777" w:rsidR="008F28D4" w:rsidRPr="00B755AD" w:rsidRDefault="008F28D4" w:rsidP="00D21535">
            <w:pPr>
              <w:rPr>
                <w:b/>
              </w:rPr>
            </w:pPr>
          </w:p>
        </w:tc>
      </w:tr>
      <w:tr w:rsidR="008F28D4" w14:paraId="24820FA9" w14:textId="79853700" w:rsidTr="008F28D4">
        <w:tc>
          <w:tcPr>
            <w:tcW w:w="5098" w:type="dxa"/>
          </w:tcPr>
          <w:p w14:paraId="5B91216B" w14:textId="77777777" w:rsidR="008F28D4" w:rsidRDefault="008F28D4" w:rsidP="00D21535">
            <w:r>
              <w:t>4.3. La tipologia di procedura applicata è conforme alla natura e all’oggetto dell’affidamento (lavori, servizi, forniture)?</w:t>
            </w:r>
          </w:p>
        </w:tc>
        <w:tc>
          <w:tcPr>
            <w:tcW w:w="2268" w:type="dxa"/>
          </w:tcPr>
          <w:p w14:paraId="69BBF643" w14:textId="77777777" w:rsidR="008F28D4" w:rsidRDefault="008F28D4" w:rsidP="00D21535">
            <w:r>
              <w:t>Art. 50, comma 1</w:t>
            </w:r>
          </w:p>
        </w:tc>
        <w:tc>
          <w:tcPr>
            <w:tcW w:w="1814" w:type="dxa"/>
          </w:tcPr>
          <w:p w14:paraId="6AE353DC" w14:textId="77777777" w:rsidR="008F28D4" w:rsidRPr="008F6F6A" w:rsidRDefault="008F28D4" w:rsidP="00D21535"/>
        </w:tc>
        <w:tc>
          <w:tcPr>
            <w:tcW w:w="2268" w:type="dxa"/>
          </w:tcPr>
          <w:p w14:paraId="369B2618" w14:textId="77777777" w:rsidR="008F28D4" w:rsidRPr="00B755AD" w:rsidRDefault="008F28D4" w:rsidP="00D21535">
            <w:pPr>
              <w:rPr>
                <w:b/>
              </w:rPr>
            </w:pPr>
          </w:p>
        </w:tc>
        <w:tc>
          <w:tcPr>
            <w:tcW w:w="3119" w:type="dxa"/>
          </w:tcPr>
          <w:p w14:paraId="79113743" w14:textId="77777777" w:rsidR="008F28D4" w:rsidRPr="00B755AD" w:rsidRDefault="008F28D4" w:rsidP="00D21535">
            <w:pPr>
              <w:rPr>
                <w:b/>
              </w:rPr>
            </w:pPr>
          </w:p>
        </w:tc>
      </w:tr>
      <w:tr w:rsidR="008F28D4" w14:paraId="5090C8B6" w14:textId="27C779D0" w:rsidTr="008F28D4">
        <w:tc>
          <w:tcPr>
            <w:tcW w:w="5098" w:type="dxa"/>
          </w:tcPr>
          <w:p w14:paraId="2C9F85DC" w14:textId="77777777" w:rsidR="008F28D4" w:rsidRDefault="008F28D4" w:rsidP="00D21535">
            <w:r>
              <w:t>4.4. È stata effettuata la consultazione degli operatori economici?</w:t>
            </w:r>
          </w:p>
        </w:tc>
        <w:tc>
          <w:tcPr>
            <w:tcW w:w="2268" w:type="dxa"/>
          </w:tcPr>
          <w:p w14:paraId="7EDF1CFD" w14:textId="77777777" w:rsidR="008F28D4" w:rsidRDefault="008F28D4" w:rsidP="00D21535">
            <w:r>
              <w:t>Art. 50, comma 1</w:t>
            </w:r>
          </w:p>
        </w:tc>
        <w:tc>
          <w:tcPr>
            <w:tcW w:w="1814" w:type="dxa"/>
          </w:tcPr>
          <w:p w14:paraId="50680E78" w14:textId="77777777" w:rsidR="008F28D4" w:rsidRPr="008F6F6A" w:rsidRDefault="008F28D4" w:rsidP="00D21535"/>
        </w:tc>
        <w:tc>
          <w:tcPr>
            <w:tcW w:w="2268" w:type="dxa"/>
          </w:tcPr>
          <w:p w14:paraId="6D41C75F" w14:textId="77777777" w:rsidR="008F28D4" w:rsidRPr="00B755AD" w:rsidRDefault="008F28D4" w:rsidP="00D21535">
            <w:pPr>
              <w:rPr>
                <w:b/>
              </w:rPr>
            </w:pPr>
          </w:p>
        </w:tc>
        <w:tc>
          <w:tcPr>
            <w:tcW w:w="3119" w:type="dxa"/>
          </w:tcPr>
          <w:p w14:paraId="0F8A8804" w14:textId="77777777" w:rsidR="008F28D4" w:rsidRPr="00B755AD" w:rsidRDefault="008F28D4" w:rsidP="00D21535">
            <w:pPr>
              <w:rPr>
                <w:b/>
              </w:rPr>
            </w:pPr>
          </w:p>
        </w:tc>
      </w:tr>
      <w:tr w:rsidR="008F28D4" w14:paraId="0A4058BC" w14:textId="4464714C" w:rsidTr="008F28D4">
        <w:tc>
          <w:tcPr>
            <w:tcW w:w="5098" w:type="dxa"/>
          </w:tcPr>
          <w:p w14:paraId="5D70BDFD" w14:textId="77777777" w:rsidR="008F28D4" w:rsidRDefault="008F28D4" w:rsidP="00D21535">
            <w:r>
              <w:t>4.5. Il numero degli operatori economici consultati è conforme a quanto prescritto per ciascuna tipologia di procedura?</w:t>
            </w:r>
          </w:p>
        </w:tc>
        <w:tc>
          <w:tcPr>
            <w:tcW w:w="2268" w:type="dxa"/>
          </w:tcPr>
          <w:p w14:paraId="493584E0" w14:textId="77777777" w:rsidR="008F28D4" w:rsidRDefault="008F28D4" w:rsidP="00D21535">
            <w:r>
              <w:t>Art. 50, comma 1</w:t>
            </w:r>
          </w:p>
        </w:tc>
        <w:tc>
          <w:tcPr>
            <w:tcW w:w="1814" w:type="dxa"/>
          </w:tcPr>
          <w:p w14:paraId="253769C8" w14:textId="77777777" w:rsidR="008F28D4" w:rsidRPr="008F6F6A" w:rsidRDefault="008F28D4" w:rsidP="00D21535"/>
        </w:tc>
        <w:tc>
          <w:tcPr>
            <w:tcW w:w="2268" w:type="dxa"/>
          </w:tcPr>
          <w:p w14:paraId="32023C44" w14:textId="77777777" w:rsidR="008F28D4" w:rsidRPr="00B755AD" w:rsidRDefault="008F28D4" w:rsidP="00D21535">
            <w:pPr>
              <w:rPr>
                <w:b/>
              </w:rPr>
            </w:pPr>
          </w:p>
        </w:tc>
        <w:tc>
          <w:tcPr>
            <w:tcW w:w="3119" w:type="dxa"/>
          </w:tcPr>
          <w:p w14:paraId="1ACECAA2" w14:textId="77777777" w:rsidR="008F28D4" w:rsidRPr="00B755AD" w:rsidRDefault="008F28D4" w:rsidP="00D21535">
            <w:pPr>
              <w:rPr>
                <w:b/>
              </w:rPr>
            </w:pPr>
          </w:p>
        </w:tc>
      </w:tr>
      <w:tr w:rsidR="008F28D4" w14:paraId="12DC82CA" w14:textId="334CE615" w:rsidTr="008F28D4">
        <w:tc>
          <w:tcPr>
            <w:tcW w:w="5098" w:type="dxa"/>
          </w:tcPr>
          <w:p w14:paraId="6198DA65" w14:textId="77777777" w:rsidR="008F28D4" w:rsidRDefault="008F28D4" w:rsidP="00D21535">
            <w:r>
              <w:t xml:space="preserve">4.6. Le modalità di individuazione degli operatori economici sono conformi a quanto prescritto per ciascuna tipologia di procedura, con particolare riferimento: </w:t>
            </w:r>
          </w:p>
          <w:p w14:paraId="3FFF3413" w14:textId="77777777" w:rsidR="008F28D4" w:rsidRDefault="008F28D4" w:rsidP="00D21535"/>
          <w:p w14:paraId="3C7D9F82" w14:textId="77777777" w:rsidR="008F28D4" w:rsidRDefault="008F28D4" w:rsidP="00D21535">
            <w:r>
              <w:t xml:space="preserve">1) alla formazione e consultazione di elenchi e albi istituiti dalla stazione appaltante;  </w:t>
            </w:r>
          </w:p>
          <w:p w14:paraId="3A5D1991" w14:textId="77777777" w:rsidR="008F28D4" w:rsidRDefault="008F28D4" w:rsidP="00D21535"/>
          <w:p w14:paraId="20AA9343" w14:textId="33C395FF" w:rsidR="008F28D4" w:rsidRDefault="008F28D4" w:rsidP="00D21535">
            <w:r>
              <w:t xml:space="preserve">2) allo svolgimento di indagini di mercato; </w:t>
            </w:r>
          </w:p>
          <w:p w14:paraId="4AE04509" w14:textId="77777777" w:rsidR="008F28D4" w:rsidRDefault="008F28D4" w:rsidP="00D21535"/>
          <w:p w14:paraId="18C53FFD" w14:textId="77777777" w:rsidR="008F28D4" w:rsidRDefault="008F28D4" w:rsidP="00D21535">
            <w:r>
              <w:t xml:space="preserve">3) nel caso di affidamenti diretti, eventualmente  al possesso di documentate esperienze pregresse idonee all’esecuzione delle prestazioni contrattuali; </w:t>
            </w:r>
          </w:p>
          <w:p w14:paraId="62349EF4" w14:textId="77777777" w:rsidR="008F28D4" w:rsidRDefault="008F28D4" w:rsidP="00D21535"/>
          <w:p w14:paraId="17C2F2E0" w14:textId="77777777" w:rsidR="008F28D4" w:rsidRDefault="008F28D4" w:rsidP="00D21535">
            <w:r>
              <w:lastRenderedPageBreak/>
              <w:t xml:space="preserve">4) nel caso di procedure negoziate, alla regola secondo cui gli inviti non possono essere effettuati sulla base di sorteggi o altri metodi di estrazione casuale dei nominativi, salvo in presenza di situazioni particolari e specificamente motivate, nei casi in cui non risulti praticabile alcun altro metodo di selezione </w:t>
            </w:r>
          </w:p>
        </w:tc>
        <w:tc>
          <w:tcPr>
            <w:tcW w:w="2268" w:type="dxa"/>
          </w:tcPr>
          <w:p w14:paraId="2CEC34FF" w14:textId="77777777" w:rsidR="008F28D4" w:rsidRDefault="008F28D4" w:rsidP="00D21535">
            <w:r>
              <w:lastRenderedPageBreak/>
              <w:t xml:space="preserve">Art. 50, commi 1 e 2, </w:t>
            </w:r>
          </w:p>
          <w:p w14:paraId="7CB9E842" w14:textId="77777777" w:rsidR="008F28D4" w:rsidRDefault="008F28D4" w:rsidP="00D21535">
            <w:r>
              <w:t>Allegato II.1 sulle modalità di gestione delle indagini di mercato e degli elenchi</w:t>
            </w:r>
          </w:p>
        </w:tc>
        <w:tc>
          <w:tcPr>
            <w:tcW w:w="1814" w:type="dxa"/>
          </w:tcPr>
          <w:p w14:paraId="03103314" w14:textId="77777777" w:rsidR="008F28D4" w:rsidRPr="008F6F6A" w:rsidRDefault="008F28D4" w:rsidP="00D21535"/>
        </w:tc>
        <w:tc>
          <w:tcPr>
            <w:tcW w:w="2268" w:type="dxa"/>
          </w:tcPr>
          <w:p w14:paraId="379F5C0C" w14:textId="77777777" w:rsidR="008F28D4" w:rsidRPr="00B755AD" w:rsidRDefault="008F28D4" w:rsidP="00D21535">
            <w:pPr>
              <w:rPr>
                <w:b/>
              </w:rPr>
            </w:pPr>
          </w:p>
        </w:tc>
        <w:tc>
          <w:tcPr>
            <w:tcW w:w="3119" w:type="dxa"/>
          </w:tcPr>
          <w:p w14:paraId="779B10B2" w14:textId="77777777" w:rsidR="008F28D4" w:rsidRPr="00B755AD" w:rsidRDefault="008F28D4" w:rsidP="00D21535">
            <w:pPr>
              <w:rPr>
                <w:b/>
              </w:rPr>
            </w:pPr>
          </w:p>
        </w:tc>
      </w:tr>
      <w:tr w:rsidR="008F28D4" w14:paraId="40A9B749" w14:textId="75BDB45C" w:rsidTr="008F28D4">
        <w:tc>
          <w:tcPr>
            <w:tcW w:w="5098" w:type="dxa"/>
          </w:tcPr>
          <w:p w14:paraId="30923841" w14:textId="77777777" w:rsidR="008F28D4" w:rsidRDefault="008F28D4" w:rsidP="00D21535">
            <w:r>
              <w:t>4.8. La stazione appaltante ha pubblicato sul proprio sito istituzionale i nominativi degli operatori eventualmente consultati nell’ambito della procedura?</w:t>
            </w:r>
          </w:p>
        </w:tc>
        <w:tc>
          <w:tcPr>
            <w:tcW w:w="2268" w:type="dxa"/>
          </w:tcPr>
          <w:p w14:paraId="7484EA48" w14:textId="77777777" w:rsidR="008F28D4" w:rsidRDefault="008F28D4" w:rsidP="00D21535">
            <w:r>
              <w:t>Art. 50, comma 2</w:t>
            </w:r>
          </w:p>
        </w:tc>
        <w:tc>
          <w:tcPr>
            <w:tcW w:w="1814" w:type="dxa"/>
          </w:tcPr>
          <w:p w14:paraId="2A1CAFBD" w14:textId="77777777" w:rsidR="008F28D4" w:rsidRPr="008F6F6A" w:rsidRDefault="008F28D4" w:rsidP="00D21535"/>
        </w:tc>
        <w:tc>
          <w:tcPr>
            <w:tcW w:w="2268" w:type="dxa"/>
          </w:tcPr>
          <w:p w14:paraId="6A9FD5D4" w14:textId="77777777" w:rsidR="008F28D4" w:rsidRPr="00B755AD" w:rsidRDefault="008F28D4" w:rsidP="00D21535">
            <w:pPr>
              <w:rPr>
                <w:b/>
              </w:rPr>
            </w:pPr>
          </w:p>
        </w:tc>
        <w:tc>
          <w:tcPr>
            <w:tcW w:w="3119" w:type="dxa"/>
          </w:tcPr>
          <w:p w14:paraId="10DB1B0F" w14:textId="77777777" w:rsidR="008F28D4" w:rsidRPr="00B755AD" w:rsidRDefault="008F28D4" w:rsidP="00D21535">
            <w:pPr>
              <w:rPr>
                <w:b/>
              </w:rPr>
            </w:pPr>
          </w:p>
        </w:tc>
      </w:tr>
      <w:tr w:rsidR="008F28D4" w14:paraId="356139B2" w14:textId="37CE98D8" w:rsidTr="008F28D4">
        <w:tc>
          <w:tcPr>
            <w:tcW w:w="5098" w:type="dxa"/>
          </w:tcPr>
          <w:p w14:paraId="49E94522" w14:textId="77777777" w:rsidR="008F28D4" w:rsidRPr="0076709B" w:rsidRDefault="008F28D4" w:rsidP="00D21535">
            <w:pPr>
              <w:rPr>
                <w:b/>
              </w:rPr>
            </w:pPr>
            <w:r w:rsidRPr="0076709B">
              <w:rPr>
                <w:b/>
              </w:rPr>
              <w:t>5. Criterio di aggiudicazione</w:t>
            </w:r>
          </w:p>
          <w:p w14:paraId="150E0C7C" w14:textId="77777777" w:rsidR="008F28D4" w:rsidRDefault="008F28D4" w:rsidP="00D21535">
            <w:r>
              <w:t>5.1. Nel caso delle procedure negoziate senza bando di cui all’art. 50, comma 1, lett. c), d) ed e) la stazione appaltante ha proceduto all’aggiudicazione secondo il criterio del prezzo più basso oppure dell’offerta economicamente più vantaggiosa?</w:t>
            </w:r>
          </w:p>
          <w:p w14:paraId="5701B06F" w14:textId="77777777" w:rsidR="008F28D4" w:rsidRDefault="008F28D4" w:rsidP="00D21535"/>
        </w:tc>
        <w:tc>
          <w:tcPr>
            <w:tcW w:w="2268" w:type="dxa"/>
          </w:tcPr>
          <w:p w14:paraId="76DA85C9" w14:textId="77777777" w:rsidR="008F28D4" w:rsidRDefault="008F28D4" w:rsidP="00D21535"/>
          <w:p w14:paraId="384B6CB3" w14:textId="77777777" w:rsidR="008F28D4" w:rsidRDefault="008F28D4" w:rsidP="00D21535"/>
          <w:p w14:paraId="4095F275" w14:textId="77777777" w:rsidR="008F28D4" w:rsidRDefault="008F28D4" w:rsidP="00D21535">
            <w:r>
              <w:t>Art. 50, comma 4</w:t>
            </w:r>
          </w:p>
        </w:tc>
        <w:tc>
          <w:tcPr>
            <w:tcW w:w="1814" w:type="dxa"/>
          </w:tcPr>
          <w:p w14:paraId="53834DC4" w14:textId="77777777" w:rsidR="008F28D4" w:rsidRPr="008F6F6A" w:rsidRDefault="008F28D4" w:rsidP="00D21535"/>
        </w:tc>
        <w:tc>
          <w:tcPr>
            <w:tcW w:w="2268" w:type="dxa"/>
          </w:tcPr>
          <w:p w14:paraId="56946D2C" w14:textId="77777777" w:rsidR="008F28D4" w:rsidRPr="00B755AD" w:rsidRDefault="008F28D4" w:rsidP="00D21535">
            <w:pPr>
              <w:rPr>
                <w:b/>
              </w:rPr>
            </w:pPr>
          </w:p>
        </w:tc>
        <w:tc>
          <w:tcPr>
            <w:tcW w:w="3119" w:type="dxa"/>
          </w:tcPr>
          <w:p w14:paraId="172D068E" w14:textId="77777777" w:rsidR="008F28D4" w:rsidRPr="00B755AD" w:rsidRDefault="008F28D4" w:rsidP="00D21535">
            <w:pPr>
              <w:rPr>
                <w:b/>
              </w:rPr>
            </w:pPr>
          </w:p>
        </w:tc>
      </w:tr>
      <w:tr w:rsidR="008F28D4" w14:paraId="66229C04" w14:textId="6E2F904B" w:rsidTr="008F28D4">
        <w:tc>
          <w:tcPr>
            <w:tcW w:w="5098" w:type="dxa"/>
          </w:tcPr>
          <w:p w14:paraId="6DEF3FC6" w14:textId="77777777" w:rsidR="008F28D4" w:rsidRPr="005837A4" w:rsidRDefault="008F28D4" w:rsidP="00D21535">
            <w:r>
              <w:t>5.2. Nel caso in cui ricorra una delle seguenti ipotesi di affidamento, la stazione appaltante ha adottato il</w:t>
            </w:r>
            <w:r w:rsidRPr="005837A4">
              <w:t xml:space="preserve"> criterio dell’offerta</w:t>
            </w:r>
            <w:r>
              <w:t xml:space="preserve"> economicamente più vantaggiosa?</w:t>
            </w:r>
          </w:p>
          <w:p w14:paraId="0E6E6E2B" w14:textId="77777777" w:rsidR="008F28D4" w:rsidRPr="005837A4" w:rsidRDefault="008F28D4" w:rsidP="00D21535"/>
          <w:p w14:paraId="3D851601" w14:textId="77777777" w:rsidR="008F28D4" w:rsidRPr="005837A4" w:rsidRDefault="008F28D4" w:rsidP="00D21535">
            <w:r w:rsidRPr="005837A4">
              <w:t xml:space="preserve">a) i contratti relativi ai servizi sociali e di ristorazione ospedaliera, assistenziale e scolastica, nonché ai servizi ad alta intensità di manodopera, come definiti </w:t>
            </w:r>
            <w:r w:rsidRPr="005837A4">
              <w:lastRenderedPageBreak/>
              <w:t>dall'articolo 2, comma 1, lettera e), dell'allegato I.1;</w:t>
            </w:r>
          </w:p>
          <w:p w14:paraId="35A9E88D" w14:textId="77777777" w:rsidR="008F28D4" w:rsidRPr="005837A4" w:rsidRDefault="008F28D4" w:rsidP="00D21535"/>
          <w:p w14:paraId="524B27F0" w14:textId="77777777" w:rsidR="008F28D4" w:rsidRPr="005837A4" w:rsidRDefault="008F28D4" w:rsidP="00D21535">
            <w:r w:rsidRPr="005837A4">
              <w:t>b) i contratti relativi all'affidamento dei servizi di ingegneria e architettura e degli altri servizi di natura tecnica e intellettuale di importo pari o superiore a 140.000 euro;</w:t>
            </w:r>
          </w:p>
          <w:p w14:paraId="2847FD4D" w14:textId="77777777" w:rsidR="008F28D4" w:rsidRPr="005837A4" w:rsidRDefault="008F28D4" w:rsidP="00D21535"/>
          <w:p w14:paraId="6CCD4804" w14:textId="77777777" w:rsidR="008F28D4" w:rsidRPr="005837A4" w:rsidRDefault="008F28D4" w:rsidP="00D21535">
            <w:r w:rsidRPr="005837A4">
              <w:t>c) i contratti di servizi e le forniture di importo pari o superiore a 140.000 euro caratterizzati da notevole contenuto tecnologico o che hanno un carattere innovativo;</w:t>
            </w:r>
          </w:p>
          <w:p w14:paraId="1A50A184" w14:textId="77777777" w:rsidR="008F28D4" w:rsidRPr="005837A4" w:rsidRDefault="008F28D4" w:rsidP="00D21535"/>
          <w:p w14:paraId="2250F356" w14:textId="77777777" w:rsidR="008F28D4" w:rsidRPr="005837A4" w:rsidRDefault="008F28D4" w:rsidP="00D21535">
            <w:r w:rsidRPr="005837A4">
              <w:t>d) gli affidamenti in caso di dialogo competitivo e di partenariato per l'innovazione;</w:t>
            </w:r>
          </w:p>
          <w:p w14:paraId="1693EE6E" w14:textId="77777777" w:rsidR="008F28D4" w:rsidRPr="005837A4" w:rsidRDefault="008F28D4" w:rsidP="00D21535"/>
          <w:p w14:paraId="442EB0AD" w14:textId="77777777" w:rsidR="008F28D4" w:rsidRPr="005837A4" w:rsidRDefault="008F28D4" w:rsidP="00D21535">
            <w:r w:rsidRPr="005837A4">
              <w:t>e) gli affidamenti di appalto integrato;</w:t>
            </w:r>
          </w:p>
          <w:p w14:paraId="4E3CB7F6" w14:textId="77777777" w:rsidR="008F28D4" w:rsidRPr="005837A4" w:rsidRDefault="008F28D4" w:rsidP="00D21535"/>
          <w:p w14:paraId="0A6A2D6A" w14:textId="77777777" w:rsidR="008F28D4" w:rsidRPr="005837A4" w:rsidRDefault="008F28D4" w:rsidP="00D21535">
            <w:r w:rsidRPr="005837A4">
              <w:t>f) i contratti relativi ai lavori caratterizzati da notevole contenuto tecnologico o con carattere innovativo.</w:t>
            </w:r>
          </w:p>
          <w:p w14:paraId="265CF534" w14:textId="77777777" w:rsidR="008F28D4" w:rsidRDefault="008F28D4" w:rsidP="00D21535"/>
        </w:tc>
        <w:tc>
          <w:tcPr>
            <w:tcW w:w="2268" w:type="dxa"/>
          </w:tcPr>
          <w:p w14:paraId="5737A07C" w14:textId="77777777" w:rsidR="008F28D4" w:rsidRDefault="008F28D4" w:rsidP="00D21535">
            <w:r>
              <w:lastRenderedPageBreak/>
              <w:t>Art. 50, comma 4</w:t>
            </w:r>
          </w:p>
          <w:p w14:paraId="0C1491A9" w14:textId="77777777" w:rsidR="008F28D4" w:rsidRDefault="008F28D4" w:rsidP="00D21535">
            <w:r>
              <w:t>Art. 108, comma 2</w:t>
            </w:r>
          </w:p>
        </w:tc>
        <w:tc>
          <w:tcPr>
            <w:tcW w:w="1814" w:type="dxa"/>
          </w:tcPr>
          <w:p w14:paraId="0C24C75B" w14:textId="77777777" w:rsidR="008F28D4" w:rsidRPr="008F6F6A" w:rsidRDefault="008F28D4" w:rsidP="00D21535"/>
        </w:tc>
        <w:tc>
          <w:tcPr>
            <w:tcW w:w="2268" w:type="dxa"/>
          </w:tcPr>
          <w:p w14:paraId="4DB96BC0" w14:textId="77777777" w:rsidR="008F28D4" w:rsidRPr="00B755AD" w:rsidRDefault="008F28D4" w:rsidP="00D21535">
            <w:pPr>
              <w:rPr>
                <w:b/>
              </w:rPr>
            </w:pPr>
          </w:p>
        </w:tc>
        <w:tc>
          <w:tcPr>
            <w:tcW w:w="3119" w:type="dxa"/>
          </w:tcPr>
          <w:p w14:paraId="5D677C91" w14:textId="77777777" w:rsidR="008F28D4" w:rsidRPr="00B755AD" w:rsidRDefault="008F28D4" w:rsidP="00D21535">
            <w:pPr>
              <w:rPr>
                <w:b/>
              </w:rPr>
            </w:pPr>
          </w:p>
        </w:tc>
      </w:tr>
      <w:tr w:rsidR="008F28D4" w14:paraId="10ADF3F8" w14:textId="1BD62FA2" w:rsidTr="008F28D4">
        <w:tc>
          <w:tcPr>
            <w:tcW w:w="5098" w:type="dxa"/>
          </w:tcPr>
          <w:p w14:paraId="342E508A" w14:textId="77777777" w:rsidR="008F28D4" w:rsidRDefault="008F28D4" w:rsidP="00D21535"/>
          <w:p w14:paraId="1F268643" w14:textId="77777777" w:rsidR="008F28D4" w:rsidRDefault="008F28D4" w:rsidP="00D21535">
            <w:r w:rsidRPr="00014204">
              <w:t>5.3. Sono stati correttamente applicati i criteri e requisiti di aggiudicazione?</w:t>
            </w:r>
          </w:p>
          <w:p w14:paraId="17D1AEC1" w14:textId="12288B6E" w:rsidR="008F28D4" w:rsidRDefault="008F28D4" w:rsidP="00D21535"/>
        </w:tc>
        <w:tc>
          <w:tcPr>
            <w:tcW w:w="2268" w:type="dxa"/>
          </w:tcPr>
          <w:p w14:paraId="6229E519" w14:textId="77777777" w:rsidR="008F28D4" w:rsidRDefault="008F28D4" w:rsidP="00D21535"/>
        </w:tc>
        <w:tc>
          <w:tcPr>
            <w:tcW w:w="1814" w:type="dxa"/>
          </w:tcPr>
          <w:p w14:paraId="7C46D8C1" w14:textId="77777777" w:rsidR="008F28D4" w:rsidRPr="008F6F6A" w:rsidRDefault="008F28D4" w:rsidP="00D21535"/>
        </w:tc>
        <w:tc>
          <w:tcPr>
            <w:tcW w:w="2268" w:type="dxa"/>
          </w:tcPr>
          <w:p w14:paraId="1BD9955C" w14:textId="77777777" w:rsidR="008F28D4" w:rsidRPr="00B755AD" w:rsidRDefault="008F28D4" w:rsidP="00D21535">
            <w:pPr>
              <w:rPr>
                <w:b/>
              </w:rPr>
            </w:pPr>
          </w:p>
        </w:tc>
        <w:tc>
          <w:tcPr>
            <w:tcW w:w="3119" w:type="dxa"/>
          </w:tcPr>
          <w:p w14:paraId="0543AF6F" w14:textId="77777777" w:rsidR="008F28D4" w:rsidRPr="00B755AD" w:rsidRDefault="008F28D4" w:rsidP="00D21535">
            <w:pPr>
              <w:rPr>
                <w:b/>
              </w:rPr>
            </w:pPr>
          </w:p>
        </w:tc>
      </w:tr>
      <w:tr w:rsidR="008F28D4" w14:paraId="20DB3AA2" w14:textId="050B9874" w:rsidTr="008F28D4">
        <w:tc>
          <w:tcPr>
            <w:tcW w:w="5098" w:type="dxa"/>
          </w:tcPr>
          <w:p w14:paraId="58C84162" w14:textId="66DE508E" w:rsidR="008F28D4" w:rsidRPr="0076709B" w:rsidRDefault="008F28D4" w:rsidP="00D21535">
            <w:pPr>
              <w:rPr>
                <w:b/>
              </w:rPr>
            </w:pPr>
            <w:r w:rsidRPr="0076709B">
              <w:rPr>
                <w:b/>
              </w:rPr>
              <w:lastRenderedPageBreak/>
              <w:t>6. Esecuzione anticipata</w:t>
            </w:r>
          </w:p>
          <w:p w14:paraId="15813714" w14:textId="77777777" w:rsidR="008F28D4" w:rsidRDefault="008F28D4" w:rsidP="00D21535">
            <w:r>
              <w:t>6.1 La stazione appaltante ha proceduto all’esecuzione anticipata del contratto dopo la verifica dei requisiti dell’aggiudicatario?</w:t>
            </w:r>
          </w:p>
        </w:tc>
        <w:tc>
          <w:tcPr>
            <w:tcW w:w="2268" w:type="dxa"/>
          </w:tcPr>
          <w:p w14:paraId="192AB204" w14:textId="77777777" w:rsidR="008F28D4" w:rsidRDefault="008F28D4" w:rsidP="00D21535"/>
          <w:p w14:paraId="15FBFC54" w14:textId="77777777" w:rsidR="008F28D4" w:rsidRDefault="008F28D4" w:rsidP="00D21535"/>
          <w:p w14:paraId="7F0BD0D1" w14:textId="77777777" w:rsidR="008F28D4" w:rsidRDefault="008F28D4" w:rsidP="00D21535">
            <w:r>
              <w:t>Art. 50, comma 6</w:t>
            </w:r>
          </w:p>
        </w:tc>
        <w:tc>
          <w:tcPr>
            <w:tcW w:w="1814" w:type="dxa"/>
          </w:tcPr>
          <w:p w14:paraId="0356EBDF" w14:textId="77777777" w:rsidR="008F28D4" w:rsidRPr="008F6F6A" w:rsidRDefault="008F28D4" w:rsidP="00D21535"/>
        </w:tc>
        <w:tc>
          <w:tcPr>
            <w:tcW w:w="2268" w:type="dxa"/>
          </w:tcPr>
          <w:p w14:paraId="4FC3927F" w14:textId="77777777" w:rsidR="008F28D4" w:rsidRPr="00B755AD" w:rsidRDefault="008F28D4" w:rsidP="00D21535">
            <w:pPr>
              <w:rPr>
                <w:b/>
              </w:rPr>
            </w:pPr>
          </w:p>
        </w:tc>
        <w:tc>
          <w:tcPr>
            <w:tcW w:w="3119" w:type="dxa"/>
          </w:tcPr>
          <w:p w14:paraId="1CD7E0E4" w14:textId="77777777" w:rsidR="008F28D4" w:rsidRPr="00B755AD" w:rsidRDefault="008F28D4" w:rsidP="00D21535">
            <w:pPr>
              <w:rPr>
                <w:b/>
              </w:rPr>
            </w:pPr>
          </w:p>
        </w:tc>
      </w:tr>
      <w:tr w:rsidR="008F28D4" w14:paraId="624BA82B" w14:textId="5A5FE51B" w:rsidTr="008F28D4">
        <w:tc>
          <w:tcPr>
            <w:tcW w:w="5098" w:type="dxa"/>
          </w:tcPr>
          <w:p w14:paraId="15652E59" w14:textId="77777777" w:rsidR="008F28D4" w:rsidRPr="0076709B" w:rsidRDefault="008F28D4" w:rsidP="00D21535">
            <w:pPr>
              <w:rPr>
                <w:b/>
              </w:rPr>
            </w:pPr>
            <w:r w:rsidRPr="0076709B">
              <w:rPr>
                <w:b/>
              </w:rPr>
              <w:t>7. Certificato di regolare esecuzione</w:t>
            </w:r>
          </w:p>
          <w:p w14:paraId="65AFC979" w14:textId="5D329644" w:rsidR="008F28D4" w:rsidRDefault="008F28D4" w:rsidP="00D21535">
            <w:r>
              <w:t xml:space="preserve">7.1. La stazione appaltante ha facoltativamente sostituito il </w:t>
            </w:r>
            <w:r w:rsidRPr="00150CE1">
              <w:t>certificato di collaudo o il certificato di verifica di conformità con il certificato di regolare esecuzione, rilasciato per i lavori dal direttore dei lavori e per le forniture e i servizi dal RUP o dal direttore dell'esecuzione, se nominato</w:t>
            </w:r>
            <w:r>
              <w:t>?</w:t>
            </w:r>
          </w:p>
        </w:tc>
        <w:tc>
          <w:tcPr>
            <w:tcW w:w="2268" w:type="dxa"/>
          </w:tcPr>
          <w:p w14:paraId="23D10931" w14:textId="77777777" w:rsidR="008F28D4" w:rsidRDefault="008F28D4" w:rsidP="00D21535"/>
          <w:p w14:paraId="255A554C" w14:textId="77777777" w:rsidR="008F28D4" w:rsidRDefault="008F28D4" w:rsidP="00D21535"/>
          <w:p w14:paraId="15871CCE" w14:textId="77777777" w:rsidR="008F28D4" w:rsidRDefault="008F28D4" w:rsidP="00D21535">
            <w:r>
              <w:t>Art. 50, comma 7</w:t>
            </w:r>
          </w:p>
        </w:tc>
        <w:tc>
          <w:tcPr>
            <w:tcW w:w="1814" w:type="dxa"/>
          </w:tcPr>
          <w:p w14:paraId="7B68B64B" w14:textId="77777777" w:rsidR="008F28D4" w:rsidRPr="008F6F6A" w:rsidRDefault="008F28D4" w:rsidP="00D21535"/>
        </w:tc>
        <w:tc>
          <w:tcPr>
            <w:tcW w:w="2268" w:type="dxa"/>
          </w:tcPr>
          <w:p w14:paraId="4EF4CD69" w14:textId="77777777" w:rsidR="008F28D4" w:rsidRPr="00B755AD" w:rsidRDefault="008F28D4" w:rsidP="00D21535">
            <w:pPr>
              <w:rPr>
                <w:b/>
              </w:rPr>
            </w:pPr>
          </w:p>
        </w:tc>
        <w:tc>
          <w:tcPr>
            <w:tcW w:w="3119" w:type="dxa"/>
          </w:tcPr>
          <w:p w14:paraId="2079234B" w14:textId="77777777" w:rsidR="008F28D4" w:rsidRPr="00B755AD" w:rsidRDefault="008F28D4" w:rsidP="00D21535">
            <w:pPr>
              <w:rPr>
                <w:b/>
              </w:rPr>
            </w:pPr>
          </w:p>
        </w:tc>
      </w:tr>
      <w:tr w:rsidR="008F28D4" w14:paraId="5DA1BA8F" w14:textId="0F1CDA72" w:rsidTr="008F28D4">
        <w:tc>
          <w:tcPr>
            <w:tcW w:w="5098" w:type="dxa"/>
          </w:tcPr>
          <w:p w14:paraId="0B7F751B" w14:textId="77777777" w:rsidR="008F28D4" w:rsidRDefault="008F28D4" w:rsidP="00D21535">
            <w:r>
              <w:t>7.2. Nel caso in cui la stazione appaltante abbia optato per il certificato di regolare esecuzione, questo è stato emesso non oltre 3 mesi dalla data di ultimazione delle prestazioni oggetto del contratto?</w:t>
            </w:r>
          </w:p>
        </w:tc>
        <w:tc>
          <w:tcPr>
            <w:tcW w:w="2268" w:type="dxa"/>
          </w:tcPr>
          <w:p w14:paraId="33BC4D79" w14:textId="77777777" w:rsidR="008F28D4" w:rsidRDefault="008F28D4" w:rsidP="00D21535">
            <w:r>
              <w:t>Art. 50, comma 7</w:t>
            </w:r>
          </w:p>
        </w:tc>
        <w:tc>
          <w:tcPr>
            <w:tcW w:w="1814" w:type="dxa"/>
          </w:tcPr>
          <w:p w14:paraId="59F4EB6E" w14:textId="77777777" w:rsidR="008F28D4" w:rsidRPr="008F6F6A" w:rsidRDefault="008F28D4" w:rsidP="00D21535"/>
        </w:tc>
        <w:tc>
          <w:tcPr>
            <w:tcW w:w="2268" w:type="dxa"/>
          </w:tcPr>
          <w:p w14:paraId="2F163A3D" w14:textId="77777777" w:rsidR="008F28D4" w:rsidRPr="00B755AD" w:rsidRDefault="008F28D4" w:rsidP="00D21535">
            <w:pPr>
              <w:rPr>
                <w:b/>
              </w:rPr>
            </w:pPr>
          </w:p>
        </w:tc>
        <w:tc>
          <w:tcPr>
            <w:tcW w:w="3119" w:type="dxa"/>
          </w:tcPr>
          <w:p w14:paraId="02C51420" w14:textId="77777777" w:rsidR="008F28D4" w:rsidRPr="00B755AD" w:rsidRDefault="008F28D4" w:rsidP="00D21535">
            <w:pPr>
              <w:rPr>
                <w:b/>
              </w:rPr>
            </w:pPr>
          </w:p>
        </w:tc>
      </w:tr>
      <w:tr w:rsidR="008F28D4" w14:paraId="31BAD740" w14:textId="33327884" w:rsidTr="008F28D4">
        <w:tc>
          <w:tcPr>
            <w:tcW w:w="5098" w:type="dxa"/>
          </w:tcPr>
          <w:p w14:paraId="207EDCDD" w14:textId="77777777" w:rsidR="008F28D4" w:rsidRPr="0076709B" w:rsidRDefault="008F28D4" w:rsidP="00D21535">
            <w:pPr>
              <w:rPr>
                <w:b/>
              </w:rPr>
            </w:pPr>
            <w:r w:rsidRPr="0076709B">
              <w:rPr>
                <w:b/>
              </w:rPr>
              <w:t>8. Pubblicità</w:t>
            </w:r>
          </w:p>
          <w:p w14:paraId="3DEBDDC1" w14:textId="77777777" w:rsidR="008F28D4" w:rsidRDefault="008F28D4" w:rsidP="00D21535">
            <w:r>
              <w:t xml:space="preserve">8.1 Sono stati pubblicati a livello nazionale </w:t>
            </w:r>
            <w:r w:rsidRPr="00150CE1">
              <w:t>sulla Banca dati nazionale dei contratti pubblici dell'ANAC e sul sito istituzionale della stazione appaltante o dell'ente concedente</w:t>
            </w:r>
            <w:r>
              <w:t xml:space="preserve">, secondo quanto previsto dall’art. 85,  </w:t>
            </w:r>
          </w:p>
          <w:p w14:paraId="1CA71C4B" w14:textId="77777777" w:rsidR="008F28D4" w:rsidRDefault="008F28D4" w:rsidP="00D21535">
            <w:r w:rsidRPr="00150CE1">
              <w:t xml:space="preserve">con esclusione della trasmissione del bando di gara all'Ufficio delle pubblicazioni </w:t>
            </w:r>
            <w:r>
              <w:t>dell'Unione europea, i seguenti atti?</w:t>
            </w:r>
          </w:p>
          <w:p w14:paraId="51F5214B" w14:textId="77777777" w:rsidR="008F28D4" w:rsidRDefault="008F28D4" w:rsidP="00D21535"/>
          <w:p w14:paraId="440B0EFD" w14:textId="77777777" w:rsidR="008F28D4" w:rsidRDefault="008F28D4" w:rsidP="00D21535">
            <w:r>
              <w:lastRenderedPageBreak/>
              <w:t>1) I bandi e gli avvisi di pre-informazione</w:t>
            </w:r>
          </w:p>
          <w:p w14:paraId="774AEA75" w14:textId="77777777" w:rsidR="008F28D4" w:rsidRDefault="008F28D4" w:rsidP="00D21535"/>
          <w:p w14:paraId="10116F96" w14:textId="77777777" w:rsidR="008F28D4" w:rsidRDefault="008F28D4" w:rsidP="00D21535">
            <w:r>
              <w:t>2) L’avviso sui risultati delle procedure di affidamento</w:t>
            </w:r>
          </w:p>
          <w:p w14:paraId="07F28252" w14:textId="77777777" w:rsidR="008F28D4" w:rsidRDefault="008F28D4" w:rsidP="00D21535"/>
          <w:p w14:paraId="7D7E396F" w14:textId="77777777" w:rsidR="008F28D4" w:rsidRDefault="008F28D4" w:rsidP="00D21535">
            <w:r>
              <w:t xml:space="preserve">3) Nei casi di procedura negoziata senza bando </w:t>
            </w:r>
            <w:r w:rsidRPr="00342501">
              <w:t>di cui all’art. 50, comma 1, lett. c), d) ed e)</w:t>
            </w:r>
            <w:r>
              <w:t>, l’indicazione dei soggetti invitati, da menzionare all’interno dell’avviso sui risultati delle procedure di affidamento di cui al punto precedente</w:t>
            </w:r>
          </w:p>
        </w:tc>
        <w:tc>
          <w:tcPr>
            <w:tcW w:w="2268" w:type="dxa"/>
          </w:tcPr>
          <w:p w14:paraId="6E6E599F" w14:textId="77777777" w:rsidR="008F28D4" w:rsidRDefault="008F28D4" w:rsidP="00D21535"/>
          <w:p w14:paraId="1A71242C" w14:textId="77777777" w:rsidR="008F28D4" w:rsidRDefault="008F28D4" w:rsidP="00D21535">
            <w:r>
              <w:t>Art. 50, commi 8 e 9</w:t>
            </w:r>
          </w:p>
          <w:p w14:paraId="018565C2" w14:textId="77777777" w:rsidR="008F28D4" w:rsidRDefault="008F28D4" w:rsidP="00D21535">
            <w:r>
              <w:t>Art. 85</w:t>
            </w:r>
          </w:p>
        </w:tc>
        <w:tc>
          <w:tcPr>
            <w:tcW w:w="1814" w:type="dxa"/>
          </w:tcPr>
          <w:p w14:paraId="759D78AC" w14:textId="77777777" w:rsidR="008F28D4" w:rsidRPr="008F6F6A" w:rsidRDefault="008F28D4" w:rsidP="00D21535"/>
        </w:tc>
        <w:tc>
          <w:tcPr>
            <w:tcW w:w="2268" w:type="dxa"/>
          </w:tcPr>
          <w:p w14:paraId="6FE3EEFB" w14:textId="77777777" w:rsidR="008F28D4" w:rsidRPr="00B755AD" w:rsidRDefault="008F28D4" w:rsidP="00D21535">
            <w:pPr>
              <w:rPr>
                <w:b/>
              </w:rPr>
            </w:pPr>
          </w:p>
        </w:tc>
        <w:tc>
          <w:tcPr>
            <w:tcW w:w="3119" w:type="dxa"/>
          </w:tcPr>
          <w:p w14:paraId="16540E72" w14:textId="77777777" w:rsidR="008F28D4" w:rsidRPr="00B755AD" w:rsidRDefault="008F28D4" w:rsidP="00D21535">
            <w:pPr>
              <w:rPr>
                <w:b/>
              </w:rPr>
            </w:pPr>
          </w:p>
        </w:tc>
      </w:tr>
      <w:tr w:rsidR="008F28D4" w14:paraId="3259CFF2" w14:textId="49918486" w:rsidTr="008F28D4">
        <w:tc>
          <w:tcPr>
            <w:tcW w:w="5098" w:type="dxa"/>
          </w:tcPr>
          <w:p w14:paraId="67E06FB0" w14:textId="718BA6CA" w:rsidR="008F28D4" w:rsidRPr="0076709B" w:rsidRDefault="008F28D4" w:rsidP="00D21535">
            <w:pPr>
              <w:rPr>
                <w:b/>
              </w:rPr>
            </w:pPr>
            <w:r w:rsidRPr="0076709B">
              <w:rPr>
                <w:b/>
              </w:rPr>
              <w:t>9. Commissione giudicatrice</w:t>
            </w:r>
          </w:p>
          <w:p w14:paraId="31174428" w14:textId="365CDDEF" w:rsidR="008F28D4" w:rsidRDefault="008F28D4" w:rsidP="00D21535">
            <w:r>
              <w:t xml:space="preserve">9.1. Facoltativo: nel caso di aggiudicazione con il criterio </w:t>
            </w:r>
            <w:r w:rsidRPr="002C1238">
              <w:t xml:space="preserve">dell'offerta economicamente più vantaggiosa, alla commissione giudicatrice </w:t>
            </w:r>
            <w:r>
              <w:t>ha</w:t>
            </w:r>
            <w:r w:rsidRPr="002C1238">
              <w:t xml:space="preserve"> partecipare il RUP,</w:t>
            </w:r>
            <w:r>
              <w:t xml:space="preserve"> eventualmente anche in qualità di presidente? (ipotesi consentita)</w:t>
            </w:r>
          </w:p>
          <w:p w14:paraId="2829B10B" w14:textId="649E8AB8" w:rsidR="008F28D4" w:rsidRDefault="008F28D4" w:rsidP="00D21535">
            <w:r w:rsidRPr="00014204">
              <w:t>9.2. I verbali della commissione sono completi e corretti?</w:t>
            </w:r>
          </w:p>
        </w:tc>
        <w:tc>
          <w:tcPr>
            <w:tcW w:w="2268" w:type="dxa"/>
          </w:tcPr>
          <w:p w14:paraId="6279C15F" w14:textId="77777777" w:rsidR="008F28D4" w:rsidRDefault="008F28D4" w:rsidP="00D21535"/>
          <w:p w14:paraId="73FC3333" w14:textId="77777777" w:rsidR="008F28D4" w:rsidRDefault="008F28D4" w:rsidP="00D21535"/>
          <w:p w14:paraId="2D4515A1" w14:textId="77777777" w:rsidR="008F28D4" w:rsidRDefault="008F28D4" w:rsidP="00D21535">
            <w:r>
              <w:t>Art. 51</w:t>
            </w:r>
          </w:p>
        </w:tc>
        <w:tc>
          <w:tcPr>
            <w:tcW w:w="1814" w:type="dxa"/>
          </w:tcPr>
          <w:p w14:paraId="4E5B7CC2" w14:textId="77777777" w:rsidR="008F28D4" w:rsidRPr="008F6F6A" w:rsidRDefault="008F28D4" w:rsidP="00D21535"/>
        </w:tc>
        <w:tc>
          <w:tcPr>
            <w:tcW w:w="2268" w:type="dxa"/>
          </w:tcPr>
          <w:p w14:paraId="23ED1184" w14:textId="77777777" w:rsidR="008F28D4" w:rsidRPr="00B755AD" w:rsidRDefault="008F28D4" w:rsidP="00D21535">
            <w:pPr>
              <w:rPr>
                <w:b/>
              </w:rPr>
            </w:pPr>
          </w:p>
        </w:tc>
        <w:tc>
          <w:tcPr>
            <w:tcW w:w="3119" w:type="dxa"/>
          </w:tcPr>
          <w:p w14:paraId="58C5ABB9" w14:textId="77777777" w:rsidR="008F28D4" w:rsidRPr="00B755AD" w:rsidRDefault="008F28D4" w:rsidP="00D21535">
            <w:pPr>
              <w:rPr>
                <w:b/>
              </w:rPr>
            </w:pPr>
          </w:p>
        </w:tc>
      </w:tr>
      <w:tr w:rsidR="008F28D4" w14:paraId="0B966F36" w14:textId="0748182E" w:rsidTr="008F28D4">
        <w:tc>
          <w:tcPr>
            <w:tcW w:w="5098" w:type="dxa"/>
          </w:tcPr>
          <w:p w14:paraId="3A8B346E" w14:textId="3F845392" w:rsidR="008F28D4" w:rsidRPr="0076709B" w:rsidRDefault="008F28D4" w:rsidP="00D21535">
            <w:pPr>
              <w:rPr>
                <w:b/>
              </w:rPr>
            </w:pPr>
            <w:r w:rsidRPr="0076709B">
              <w:rPr>
                <w:b/>
              </w:rPr>
              <w:t>10. Requisiti</w:t>
            </w:r>
          </w:p>
          <w:p w14:paraId="09673EAD" w14:textId="77777777" w:rsidR="008F28D4" w:rsidRDefault="008F28D4" w:rsidP="00D21535">
            <w:r>
              <w:t>10.1 La stazione appaltante ha verificato il possesso dei requisiti generali e speciali dichiarati e prescritti in capo all’operatore economico?</w:t>
            </w:r>
          </w:p>
        </w:tc>
        <w:tc>
          <w:tcPr>
            <w:tcW w:w="2268" w:type="dxa"/>
          </w:tcPr>
          <w:p w14:paraId="58DC16BD" w14:textId="77777777" w:rsidR="008F28D4" w:rsidRDefault="008F28D4" w:rsidP="00D21535"/>
          <w:p w14:paraId="0E612ABA" w14:textId="77777777" w:rsidR="008F28D4" w:rsidRDefault="008F28D4" w:rsidP="00D21535">
            <w:r>
              <w:t>Art. 52, comma 1</w:t>
            </w:r>
          </w:p>
        </w:tc>
        <w:tc>
          <w:tcPr>
            <w:tcW w:w="1814" w:type="dxa"/>
          </w:tcPr>
          <w:p w14:paraId="40B0E1C9" w14:textId="77777777" w:rsidR="008F28D4" w:rsidRPr="008F6F6A" w:rsidRDefault="008F28D4" w:rsidP="00D21535"/>
        </w:tc>
        <w:tc>
          <w:tcPr>
            <w:tcW w:w="2268" w:type="dxa"/>
          </w:tcPr>
          <w:p w14:paraId="19A4074F" w14:textId="77777777" w:rsidR="008F28D4" w:rsidRPr="00B755AD" w:rsidRDefault="008F28D4" w:rsidP="00D21535">
            <w:pPr>
              <w:rPr>
                <w:b/>
              </w:rPr>
            </w:pPr>
          </w:p>
        </w:tc>
        <w:tc>
          <w:tcPr>
            <w:tcW w:w="3119" w:type="dxa"/>
          </w:tcPr>
          <w:p w14:paraId="44B91639" w14:textId="77777777" w:rsidR="008F28D4" w:rsidRPr="00B755AD" w:rsidRDefault="008F28D4" w:rsidP="00D21535">
            <w:pPr>
              <w:rPr>
                <w:b/>
              </w:rPr>
            </w:pPr>
          </w:p>
        </w:tc>
      </w:tr>
      <w:tr w:rsidR="008F28D4" w14:paraId="66C4924E" w14:textId="35DDF30A" w:rsidTr="008F28D4">
        <w:tc>
          <w:tcPr>
            <w:tcW w:w="5098" w:type="dxa"/>
          </w:tcPr>
          <w:p w14:paraId="253530AD" w14:textId="6F5DCED4" w:rsidR="008F28D4" w:rsidRDefault="008F28D4" w:rsidP="00D21535">
            <w:r>
              <w:t xml:space="preserve">10.2. Nel solo caso delle procedure di affidamento diretto di cui all’art. 50, comma 1, lett. a) e b) di importo inferiore a 40.000 euro, la stazione </w:t>
            </w:r>
            <w:r>
              <w:lastRenderedPageBreak/>
              <w:t>appaltante ha verificato le dichiarazioni sostitutive di atto di notorietà almeno previa predisposizione di un sistema di sorteggio a campione individuato con modalità predeterminate ogni anno?</w:t>
            </w:r>
          </w:p>
        </w:tc>
        <w:tc>
          <w:tcPr>
            <w:tcW w:w="2268" w:type="dxa"/>
          </w:tcPr>
          <w:p w14:paraId="04993052" w14:textId="77777777" w:rsidR="008F28D4" w:rsidRDefault="008F28D4" w:rsidP="00D21535">
            <w:r>
              <w:lastRenderedPageBreak/>
              <w:t>Art. 52, comma 1</w:t>
            </w:r>
          </w:p>
        </w:tc>
        <w:tc>
          <w:tcPr>
            <w:tcW w:w="1814" w:type="dxa"/>
          </w:tcPr>
          <w:p w14:paraId="03DF7A9B" w14:textId="77777777" w:rsidR="008F28D4" w:rsidRPr="008F6F6A" w:rsidRDefault="008F28D4" w:rsidP="00D21535"/>
        </w:tc>
        <w:tc>
          <w:tcPr>
            <w:tcW w:w="2268" w:type="dxa"/>
          </w:tcPr>
          <w:p w14:paraId="01034206" w14:textId="77777777" w:rsidR="008F28D4" w:rsidRPr="00B755AD" w:rsidRDefault="008F28D4" w:rsidP="00D21535">
            <w:pPr>
              <w:rPr>
                <w:b/>
              </w:rPr>
            </w:pPr>
          </w:p>
        </w:tc>
        <w:tc>
          <w:tcPr>
            <w:tcW w:w="3119" w:type="dxa"/>
          </w:tcPr>
          <w:p w14:paraId="75089EE4" w14:textId="77777777" w:rsidR="008F28D4" w:rsidRPr="00B755AD" w:rsidRDefault="008F28D4" w:rsidP="00D21535">
            <w:pPr>
              <w:rPr>
                <w:b/>
              </w:rPr>
            </w:pPr>
          </w:p>
        </w:tc>
      </w:tr>
      <w:tr w:rsidR="008F28D4" w14:paraId="01B06D12" w14:textId="017BBE92" w:rsidTr="008F28D4">
        <w:tc>
          <w:tcPr>
            <w:tcW w:w="5098" w:type="dxa"/>
          </w:tcPr>
          <w:p w14:paraId="1E2D9AEC" w14:textId="77777777" w:rsidR="008F28D4" w:rsidRDefault="008F28D4" w:rsidP="00D21535">
            <w:r>
              <w:t xml:space="preserve">10.3. In caso sia verificata l’assenza dei requisiti generali o speciali dichiarati, la stazione appaltante ha proceduto alla </w:t>
            </w:r>
            <w:r w:rsidRPr="00F97376">
              <w:t>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w:t>
            </w:r>
            <w:r>
              <w:t>o?</w:t>
            </w:r>
          </w:p>
        </w:tc>
        <w:tc>
          <w:tcPr>
            <w:tcW w:w="2268" w:type="dxa"/>
          </w:tcPr>
          <w:p w14:paraId="569D0861" w14:textId="77777777" w:rsidR="008F28D4" w:rsidRDefault="008F28D4" w:rsidP="00D21535">
            <w:r>
              <w:t>Art. 52, comma 2</w:t>
            </w:r>
          </w:p>
        </w:tc>
        <w:tc>
          <w:tcPr>
            <w:tcW w:w="1814" w:type="dxa"/>
          </w:tcPr>
          <w:p w14:paraId="6157575D" w14:textId="77777777" w:rsidR="008F28D4" w:rsidRPr="008F6F6A" w:rsidRDefault="008F28D4" w:rsidP="00D21535"/>
        </w:tc>
        <w:tc>
          <w:tcPr>
            <w:tcW w:w="2268" w:type="dxa"/>
          </w:tcPr>
          <w:p w14:paraId="5DE8B451" w14:textId="77777777" w:rsidR="008F28D4" w:rsidRPr="00B755AD" w:rsidRDefault="008F28D4" w:rsidP="00D21535">
            <w:pPr>
              <w:rPr>
                <w:b/>
              </w:rPr>
            </w:pPr>
          </w:p>
        </w:tc>
        <w:tc>
          <w:tcPr>
            <w:tcW w:w="3119" w:type="dxa"/>
          </w:tcPr>
          <w:p w14:paraId="435A7E69" w14:textId="77777777" w:rsidR="008F28D4" w:rsidRPr="00B755AD" w:rsidRDefault="008F28D4" w:rsidP="00D21535">
            <w:pPr>
              <w:rPr>
                <w:b/>
              </w:rPr>
            </w:pPr>
          </w:p>
        </w:tc>
      </w:tr>
      <w:tr w:rsidR="008F28D4" w14:paraId="616755F3" w14:textId="5E16E2A5" w:rsidTr="008F28D4">
        <w:tc>
          <w:tcPr>
            <w:tcW w:w="5098" w:type="dxa"/>
          </w:tcPr>
          <w:p w14:paraId="685506BB" w14:textId="77777777" w:rsidR="008F28D4" w:rsidRPr="0076709B" w:rsidRDefault="008F28D4" w:rsidP="00D21535">
            <w:pPr>
              <w:rPr>
                <w:b/>
              </w:rPr>
            </w:pPr>
            <w:r w:rsidRPr="0076709B">
              <w:rPr>
                <w:b/>
              </w:rPr>
              <w:t>11. Garanzie provvisorie</w:t>
            </w:r>
          </w:p>
          <w:p w14:paraId="20F020CF" w14:textId="77777777" w:rsidR="008F28D4" w:rsidRDefault="008F28D4" w:rsidP="00D21535">
            <w:r>
              <w:t>11.1. Per le sole procedure negoziate</w:t>
            </w:r>
            <w:r w:rsidRPr="0005307C">
              <w:t xml:space="preserve"> senza bando di cui all’art. 50, comma 1, lett. c), d) ed e), </w:t>
            </w:r>
            <w:r>
              <w:t xml:space="preserve"> qualora la stazione appaltante abbia richiesto le garanzie provvisorie, la decisione di contrarre, l’avviso d’indizione o altro atto equivalente indicano le particolari esigenze che ne giustificano la richiesta, in considerazione della tipologie e specificità della singola procedura?</w:t>
            </w:r>
          </w:p>
        </w:tc>
        <w:tc>
          <w:tcPr>
            <w:tcW w:w="2268" w:type="dxa"/>
          </w:tcPr>
          <w:p w14:paraId="37276CC2" w14:textId="77777777" w:rsidR="008F28D4" w:rsidRDefault="008F28D4" w:rsidP="00D21535"/>
          <w:p w14:paraId="7E8413DB" w14:textId="77777777" w:rsidR="008F28D4" w:rsidRDefault="008F28D4" w:rsidP="00D21535"/>
          <w:p w14:paraId="2BFAC068" w14:textId="77777777" w:rsidR="008F28D4" w:rsidRDefault="008F28D4" w:rsidP="00D21535">
            <w:r>
              <w:t>Art. 53, comma 1</w:t>
            </w:r>
          </w:p>
        </w:tc>
        <w:tc>
          <w:tcPr>
            <w:tcW w:w="1814" w:type="dxa"/>
          </w:tcPr>
          <w:p w14:paraId="4DB41565" w14:textId="77777777" w:rsidR="008F28D4" w:rsidRPr="008F6F6A" w:rsidRDefault="008F28D4" w:rsidP="00D21535"/>
        </w:tc>
        <w:tc>
          <w:tcPr>
            <w:tcW w:w="2268" w:type="dxa"/>
          </w:tcPr>
          <w:p w14:paraId="519DBABD" w14:textId="77777777" w:rsidR="008F28D4" w:rsidRPr="00B755AD" w:rsidRDefault="008F28D4" w:rsidP="00D21535">
            <w:pPr>
              <w:rPr>
                <w:b/>
              </w:rPr>
            </w:pPr>
          </w:p>
        </w:tc>
        <w:tc>
          <w:tcPr>
            <w:tcW w:w="3119" w:type="dxa"/>
          </w:tcPr>
          <w:p w14:paraId="2B11B55C" w14:textId="77777777" w:rsidR="008F28D4" w:rsidRPr="00B755AD" w:rsidRDefault="008F28D4" w:rsidP="00D21535">
            <w:pPr>
              <w:rPr>
                <w:b/>
              </w:rPr>
            </w:pPr>
          </w:p>
        </w:tc>
      </w:tr>
      <w:tr w:rsidR="008F28D4" w14:paraId="3E45BE8C" w14:textId="70CEC144" w:rsidTr="008F28D4">
        <w:tc>
          <w:tcPr>
            <w:tcW w:w="5098" w:type="dxa"/>
          </w:tcPr>
          <w:p w14:paraId="545928B6" w14:textId="77777777" w:rsidR="008F28D4" w:rsidRDefault="008F28D4" w:rsidP="00D21535">
            <w:r>
              <w:t xml:space="preserve">11.2. Qualora la stazione appaltante, nei casi di cui al punto precedente, abbia richiesto le garanzie </w:t>
            </w:r>
            <w:r>
              <w:lastRenderedPageBreak/>
              <w:t>provvisorie, il relativo ammontare è compreso entro il limite massimo dell’1% dell’importo previsto nell’avviso o nell’invito?</w:t>
            </w:r>
          </w:p>
        </w:tc>
        <w:tc>
          <w:tcPr>
            <w:tcW w:w="2268" w:type="dxa"/>
          </w:tcPr>
          <w:p w14:paraId="7B7BBB5C" w14:textId="77777777" w:rsidR="008F28D4" w:rsidRDefault="008F28D4" w:rsidP="00D21535">
            <w:r>
              <w:lastRenderedPageBreak/>
              <w:t>Art. 53, comma 2</w:t>
            </w:r>
          </w:p>
        </w:tc>
        <w:tc>
          <w:tcPr>
            <w:tcW w:w="1814" w:type="dxa"/>
          </w:tcPr>
          <w:p w14:paraId="54CFB22E" w14:textId="77777777" w:rsidR="008F28D4" w:rsidRPr="008F6F6A" w:rsidRDefault="008F28D4" w:rsidP="00D21535"/>
        </w:tc>
        <w:tc>
          <w:tcPr>
            <w:tcW w:w="2268" w:type="dxa"/>
          </w:tcPr>
          <w:p w14:paraId="44FC4F2E" w14:textId="77777777" w:rsidR="008F28D4" w:rsidRPr="00B755AD" w:rsidRDefault="008F28D4" w:rsidP="00D21535">
            <w:pPr>
              <w:rPr>
                <w:b/>
              </w:rPr>
            </w:pPr>
          </w:p>
        </w:tc>
        <w:tc>
          <w:tcPr>
            <w:tcW w:w="3119" w:type="dxa"/>
          </w:tcPr>
          <w:p w14:paraId="1E765FCB" w14:textId="77777777" w:rsidR="008F28D4" w:rsidRPr="00B755AD" w:rsidRDefault="008F28D4" w:rsidP="00D21535">
            <w:pPr>
              <w:rPr>
                <w:b/>
              </w:rPr>
            </w:pPr>
          </w:p>
        </w:tc>
      </w:tr>
      <w:tr w:rsidR="008F28D4" w14:paraId="1D44977D" w14:textId="1877BBA6" w:rsidTr="008F28D4">
        <w:tc>
          <w:tcPr>
            <w:tcW w:w="5098" w:type="dxa"/>
          </w:tcPr>
          <w:p w14:paraId="14ABC57F" w14:textId="77777777" w:rsidR="008F28D4" w:rsidRDefault="008F28D4" w:rsidP="00D21535">
            <w:r>
              <w:t xml:space="preserve">11.3. Qualora la stazione appaltante, </w:t>
            </w:r>
            <w:r w:rsidRPr="0005307C">
              <w:t>nei casi di cui al punto precedente, abbia richiesto le garanzie provvisorie</w:t>
            </w:r>
            <w:r>
              <w:t>, esse sono costituite in forma di cauzione o di fideiussione con le modalità dell’art. 106?</w:t>
            </w:r>
          </w:p>
        </w:tc>
        <w:tc>
          <w:tcPr>
            <w:tcW w:w="2268" w:type="dxa"/>
          </w:tcPr>
          <w:p w14:paraId="1CC45B4D" w14:textId="77777777" w:rsidR="008F28D4" w:rsidRDefault="008F28D4" w:rsidP="00D21535">
            <w:r>
              <w:t>Art. 53, comma 3</w:t>
            </w:r>
          </w:p>
          <w:p w14:paraId="33EF5B5C" w14:textId="77777777" w:rsidR="008F28D4" w:rsidRDefault="008F28D4" w:rsidP="00D21535">
            <w:r>
              <w:t>Art. 106</w:t>
            </w:r>
          </w:p>
        </w:tc>
        <w:tc>
          <w:tcPr>
            <w:tcW w:w="1814" w:type="dxa"/>
          </w:tcPr>
          <w:p w14:paraId="0090AFB8" w14:textId="77777777" w:rsidR="008F28D4" w:rsidRPr="008F6F6A" w:rsidRDefault="008F28D4" w:rsidP="00D21535"/>
        </w:tc>
        <w:tc>
          <w:tcPr>
            <w:tcW w:w="2268" w:type="dxa"/>
          </w:tcPr>
          <w:p w14:paraId="055B737C" w14:textId="77777777" w:rsidR="008F28D4" w:rsidRPr="00B755AD" w:rsidRDefault="008F28D4" w:rsidP="00D21535">
            <w:pPr>
              <w:rPr>
                <w:b/>
              </w:rPr>
            </w:pPr>
          </w:p>
        </w:tc>
        <w:tc>
          <w:tcPr>
            <w:tcW w:w="3119" w:type="dxa"/>
          </w:tcPr>
          <w:p w14:paraId="2069FE11" w14:textId="77777777" w:rsidR="008F28D4" w:rsidRPr="00B755AD" w:rsidRDefault="008F28D4" w:rsidP="00D21535">
            <w:pPr>
              <w:rPr>
                <w:b/>
              </w:rPr>
            </w:pPr>
          </w:p>
        </w:tc>
      </w:tr>
      <w:tr w:rsidR="008F28D4" w14:paraId="78FD6AE5" w14:textId="3023713F" w:rsidTr="008F28D4">
        <w:tc>
          <w:tcPr>
            <w:tcW w:w="5098" w:type="dxa"/>
          </w:tcPr>
          <w:p w14:paraId="6B744A8F" w14:textId="77777777" w:rsidR="008F28D4" w:rsidRPr="0076709B" w:rsidRDefault="008F28D4" w:rsidP="00D21535">
            <w:pPr>
              <w:rPr>
                <w:b/>
              </w:rPr>
            </w:pPr>
            <w:r w:rsidRPr="0076709B">
              <w:rPr>
                <w:b/>
              </w:rPr>
              <w:t>12. Garanzia definitiva</w:t>
            </w:r>
          </w:p>
          <w:p w14:paraId="675D39F8" w14:textId="77777777" w:rsidR="008F28D4" w:rsidRDefault="008F28D4" w:rsidP="00D21535">
            <w:r>
              <w:t>12.1. Nei casi in cui la stazione appaltante non ha richiesto la garanzia definitiva per l’esecuzione del contratto, la scelta è stata debitamente motivata?</w:t>
            </w:r>
          </w:p>
        </w:tc>
        <w:tc>
          <w:tcPr>
            <w:tcW w:w="2268" w:type="dxa"/>
          </w:tcPr>
          <w:p w14:paraId="7E85E031" w14:textId="77777777" w:rsidR="008F28D4" w:rsidRDefault="008F28D4" w:rsidP="00D21535"/>
          <w:p w14:paraId="70F6B6BA" w14:textId="77777777" w:rsidR="008F28D4" w:rsidRDefault="008F28D4" w:rsidP="00D21535">
            <w:r>
              <w:t>Art. 53, comma 4</w:t>
            </w:r>
          </w:p>
        </w:tc>
        <w:tc>
          <w:tcPr>
            <w:tcW w:w="1814" w:type="dxa"/>
          </w:tcPr>
          <w:p w14:paraId="43CCF262" w14:textId="77777777" w:rsidR="008F28D4" w:rsidRPr="008F6F6A" w:rsidRDefault="008F28D4" w:rsidP="00D21535"/>
        </w:tc>
        <w:tc>
          <w:tcPr>
            <w:tcW w:w="2268" w:type="dxa"/>
          </w:tcPr>
          <w:p w14:paraId="3A99AB8A" w14:textId="77777777" w:rsidR="008F28D4" w:rsidRPr="00B755AD" w:rsidRDefault="008F28D4" w:rsidP="00D21535">
            <w:pPr>
              <w:rPr>
                <w:b/>
              </w:rPr>
            </w:pPr>
          </w:p>
        </w:tc>
        <w:tc>
          <w:tcPr>
            <w:tcW w:w="3119" w:type="dxa"/>
          </w:tcPr>
          <w:p w14:paraId="34569776" w14:textId="77777777" w:rsidR="008F28D4" w:rsidRPr="00B755AD" w:rsidRDefault="008F28D4" w:rsidP="00D21535">
            <w:pPr>
              <w:rPr>
                <w:b/>
              </w:rPr>
            </w:pPr>
          </w:p>
        </w:tc>
      </w:tr>
      <w:tr w:rsidR="008F28D4" w14:paraId="7F73DE27" w14:textId="03F1C99A" w:rsidTr="008F28D4">
        <w:tc>
          <w:tcPr>
            <w:tcW w:w="5098" w:type="dxa"/>
          </w:tcPr>
          <w:p w14:paraId="2CFADC03" w14:textId="77777777" w:rsidR="008F28D4" w:rsidRDefault="008F28D4" w:rsidP="00D21535">
            <w:r>
              <w:t>12.2. La garanzia definitiva, se richiesta, è pari al 5% dell’importo contrattuale?</w:t>
            </w:r>
          </w:p>
        </w:tc>
        <w:tc>
          <w:tcPr>
            <w:tcW w:w="2268" w:type="dxa"/>
          </w:tcPr>
          <w:p w14:paraId="2ED72CA4" w14:textId="77777777" w:rsidR="008F28D4" w:rsidRDefault="008F28D4" w:rsidP="00D21535">
            <w:r>
              <w:t>Art. 53, comma 4</w:t>
            </w:r>
          </w:p>
        </w:tc>
        <w:tc>
          <w:tcPr>
            <w:tcW w:w="1814" w:type="dxa"/>
          </w:tcPr>
          <w:p w14:paraId="0FD86958" w14:textId="77777777" w:rsidR="008F28D4" w:rsidRPr="008F6F6A" w:rsidRDefault="008F28D4" w:rsidP="00D21535"/>
        </w:tc>
        <w:tc>
          <w:tcPr>
            <w:tcW w:w="2268" w:type="dxa"/>
          </w:tcPr>
          <w:p w14:paraId="1BA7927D" w14:textId="77777777" w:rsidR="008F28D4" w:rsidRPr="00B755AD" w:rsidRDefault="008F28D4" w:rsidP="00D21535">
            <w:pPr>
              <w:rPr>
                <w:b/>
              </w:rPr>
            </w:pPr>
          </w:p>
        </w:tc>
        <w:tc>
          <w:tcPr>
            <w:tcW w:w="3119" w:type="dxa"/>
          </w:tcPr>
          <w:p w14:paraId="06AB94B0" w14:textId="77777777" w:rsidR="008F28D4" w:rsidRPr="00B755AD" w:rsidRDefault="008F28D4" w:rsidP="00D21535">
            <w:pPr>
              <w:rPr>
                <w:b/>
              </w:rPr>
            </w:pPr>
          </w:p>
        </w:tc>
      </w:tr>
      <w:tr w:rsidR="008F28D4" w14:paraId="73192DE4" w14:textId="5A072434" w:rsidTr="008F28D4">
        <w:tc>
          <w:tcPr>
            <w:tcW w:w="5098" w:type="dxa"/>
          </w:tcPr>
          <w:p w14:paraId="1B1E838B" w14:textId="77777777" w:rsidR="008F28D4" w:rsidRPr="0076709B" w:rsidRDefault="008F28D4" w:rsidP="00D21535">
            <w:pPr>
              <w:rPr>
                <w:b/>
              </w:rPr>
            </w:pPr>
            <w:r w:rsidRPr="0076709B">
              <w:rPr>
                <w:b/>
              </w:rPr>
              <w:t>13. Offerte anomale</w:t>
            </w:r>
          </w:p>
          <w:p w14:paraId="7CA92B42" w14:textId="77777777" w:rsidR="008F28D4" w:rsidRDefault="008F28D4" w:rsidP="00D21535">
            <w:r>
              <w:t>13.1. F</w:t>
            </w:r>
            <w:r w:rsidRPr="00A81BDC">
              <w:t>uori dal</w:t>
            </w:r>
            <w:r>
              <w:t xml:space="preserve">le ipotesi di </w:t>
            </w:r>
            <w:r w:rsidRPr="00A81BDC">
              <w:t>affidamento diretto di cui all</w:t>
            </w:r>
            <w:r>
              <w:t xml:space="preserve">’art. 50, </w:t>
            </w:r>
            <w:r w:rsidRPr="00A81BDC">
              <w:t>comma 1, lett. a) e b),</w:t>
            </w:r>
            <w:r>
              <w:t xml:space="preserve"> le stazioni appaltanti – quando si tratta di contratti aggiudicati con il criterio del prezzo più basso, che non presentano interesse transfrontaliero certo, qualora il numero delle offerte ammesse sia pari o superiore a 5 – hanno previsto negli atti di gara l’esclusione automatica delle offerte anomale? </w:t>
            </w:r>
          </w:p>
        </w:tc>
        <w:tc>
          <w:tcPr>
            <w:tcW w:w="2268" w:type="dxa"/>
          </w:tcPr>
          <w:p w14:paraId="00ED72EC" w14:textId="77777777" w:rsidR="008F28D4" w:rsidRDefault="008F28D4" w:rsidP="00D21535"/>
          <w:p w14:paraId="305E8999" w14:textId="77777777" w:rsidR="008F28D4" w:rsidRDefault="008F28D4" w:rsidP="00D21535"/>
          <w:p w14:paraId="35D17F76" w14:textId="77777777" w:rsidR="008F28D4" w:rsidRDefault="008F28D4" w:rsidP="00D21535">
            <w:r>
              <w:t>Art. 54, comma 1</w:t>
            </w:r>
          </w:p>
        </w:tc>
        <w:tc>
          <w:tcPr>
            <w:tcW w:w="1814" w:type="dxa"/>
          </w:tcPr>
          <w:p w14:paraId="41139EC8" w14:textId="77777777" w:rsidR="008F28D4" w:rsidRPr="008F6F6A" w:rsidRDefault="008F28D4" w:rsidP="00D21535"/>
        </w:tc>
        <w:tc>
          <w:tcPr>
            <w:tcW w:w="2268" w:type="dxa"/>
          </w:tcPr>
          <w:p w14:paraId="3A1B281B" w14:textId="77777777" w:rsidR="008F28D4" w:rsidRPr="00B755AD" w:rsidRDefault="008F28D4" w:rsidP="00D21535">
            <w:pPr>
              <w:rPr>
                <w:b/>
              </w:rPr>
            </w:pPr>
          </w:p>
        </w:tc>
        <w:tc>
          <w:tcPr>
            <w:tcW w:w="3119" w:type="dxa"/>
          </w:tcPr>
          <w:p w14:paraId="3EDE596B" w14:textId="77777777" w:rsidR="008F28D4" w:rsidRPr="00B755AD" w:rsidRDefault="008F28D4" w:rsidP="00D21535">
            <w:pPr>
              <w:rPr>
                <w:b/>
              </w:rPr>
            </w:pPr>
          </w:p>
        </w:tc>
      </w:tr>
      <w:tr w:rsidR="008F28D4" w14:paraId="6DB3ED05" w14:textId="55E7504F" w:rsidTr="008F28D4">
        <w:tc>
          <w:tcPr>
            <w:tcW w:w="5098" w:type="dxa"/>
          </w:tcPr>
          <w:p w14:paraId="280283BC" w14:textId="77777777" w:rsidR="008F28D4" w:rsidRDefault="008F28D4" w:rsidP="00D21535">
            <w:r>
              <w:t xml:space="preserve">13.2. Nel caso di previsione di esclusione automatica delle offerte anomale di cui al punto precedente, la </w:t>
            </w:r>
            <w:r>
              <w:lastRenderedPageBreak/>
              <w:t>stazione appaltante ha selezionato il metodo per la relativa individuazione fra quelli di cui all’allegato II.2?</w:t>
            </w:r>
          </w:p>
        </w:tc>
        <w:tc>
          <w:tcPr>
            <w:tcW w:w="2268" w:type="dxa"/>
          </w:tcPr>
          <w:p w14:paraId="0384792D" w14:textId="77777777" w:rsidR="008F28D4" w:rsidRDefault="008F28D4" w:rsidP="00D21535">
            <w:r>
              <w:lastRenderedPageBreak/>
              <w:t>Art. 54, comma 3</w:t>
            </w:r>
          </w:p>
          <w:p w14:paraId="0C295777" w14:textId="77777777" w:rsidR="008F28D4" w:rsidRDefault="008F28D4" w:rsidP="00D21535">
            <w:r>
              <w:t>Allegato II.2</w:t>
            </w:r>
          </w:p>
        </w:tc>
        <w:tc>
          <w:tcPr>
            <w:tcW w:w="1814" w:type="dxa"/>
          </w:tcPr>
          <w:p w14:paraId="290D38D6" w14:textId="77777777" w:rsidR="008F28D4" w:rsidRPr="008F6F6A" w:rsidRDefault="008F28D4" w:rsidP="00D21535"/>
        </w:tc>
        <w:tc>
          <w:tcPr>
            <w:tcW w:w="2268" w:type="dxa"/>
          </w:tcPr>
          <w:p w14:paraId="7393AF63" w14:textId="77777777" w:rsidR="008F28D4" w:rsidRPr="00B755AD" w:rsidRDefault="008F28D4" w:rsidP="00D21535">
            <w:pPr>
              <w:rPr>
                <w:b/>
              </w:rPr>
            </w:pPr>
          </w:p>
        </w:tc>
        <w:tc>
          <w:tcPr>
            <w:tcW w:w="3119" w:type="dxa"/>
          </w:tcPr>
          <w:p w14:paraId="03BC6679" w14:textId="77777777" w:rsidR="008F28D4" w:rsidRPr="00B755AD" w:rsidRDefault="008F28D4" w:rsidP="00D21535">
            <w:pPr>
              <w:rPr>
                <w:b/>
              </w:rPr>
            </w:pPr>
          </w:p>
        </w:tc>
      </w:tr>
      <w:tr w:rsidR="008F28D4" w14:paraId="6B67B00B" w14:textId="05DBC053" w:rsidTr="008F28D4">
        <w:tc>
          <w:tcPr>
            <w:tcW w:w="5098" w:type="dxa"/>
          </w:tcPr>
          <w:p w14:paraId="48EC50BD" w14:textId="77777777" w:rsidR="008F28D4" w:rsidRDefault="008F28D4" w:rsidP="00D21535">
            <w:r w:rsidRPr="00014204">
              <w:t>13.3. Il verbale è corretto e completo?</w:t>
            </w:r>
          </w:p>
          <w:p w14:paraId="19144881" w14:textId="075DE8FC" w:rsidR="008F28D4" w:rsidRDefault="008F28D4" w:rsidP="00D21535"/>
        </w:tc>
        <w:tc>
          <w:tcPr>
            <w:tcW w:w="2268" w:type="dxa"/>
          </w:tcPr>
          <w:p w14:paraId="3A2E2FF7" w14:textId="6DB9D144" w:rsidR="008F28D4" w:rsidRDefault="008F28D4" w:rsidP="00D21535">
            <w:r>
              <w:t>Art. 54</w:t>
            </w:r>
          </w:p>
        </w:tc>
        <w:tc>
          <w:tcPr>
            <w:tcW w:w="1814" w:type="dxa"/>
          </w:tcPr>
          <w:p w14:paraId="18F2EBED" w14:textId="77777777" w:rsidR="008F28D4" w:rsidRPr="008F6F6A" w:rsidRDefault="008F28D4" w:rsidP="00D21535"/>
        </w:tc>
        <w:tc>
          <w:tcPr>
            <w:tcW w:w="2268" w:type="dxa"/>
          </w:tcPr>
          <w:p w14:paraId="72B891E1" w14:textId="77777777" w:rsidR="008F28D4" w:rsidRPr="00B755AD" w:rsidRDefault="008F28D4" w:rsidP="00D21535">
            <w:pPr>
              <w:rPr>
                <w:b/>
              </w:rPr>
            </w:pPr>
          </w:p>
        </w:tc>
        <w:tc>
          <w:tcPr>
            <w:tcW w:w="3119" w:type="dxa"/>
          </w:tcPr>
          <w:p w14:paraId="2DC14B04" w14:textId="77777777" w:rsidR="008F28D4" w:rsidRPr="00B755AD" w:rsidRDefault="008F28D4" w:rsidP="00D21535">
            <w:pPr>
              <w:rPr>
                <w:b/>
              </w:rPr>
            </w:pPr>
          </w:p>
        </w:tc>
      </w:tr>
      <w:tr w:rsidR="008F28D4" w14:paraId="499F1C9E" w14:textId="47298D7C" w:rsidTr="008F28D4">
        <w:tc>
          <w:tcPr>
            <w:tcW w:w="5098" w:type="dxa"/>
          </w:tcPr>
          <w:p w14:paraId="2A98DA72" w14:textId="77777777" w:rsidR="008F28D4" w:rsidRPr="00DF1DEC" w:rsidRDefault="008F28D4" w:rsidP="00D21535">
            <w:pPr>
              <w:rPr>
                <w:b/>
              </w:rPr>
            </w:pPr>
            <w:r w:rsidRPr="00DF1DEC">
              <w:rPr>
                <w:b/>
              </w:rPr>
              <w:t>14. Termini complessivi di durata della procedura</w:t>
            </w:r>
          </w:p>
          <w:p w14:paraId="4501042E" w14:textId="77777777" w:rsidR="008F28D4" w:rsidRPr="00DF1DEC" w:rsidRDefault="008F28D4" w:rsidP="00D21535">
            <w:r w:rsidRPr="00DF1DEC">
              <w:t>14.1. Nel caso di procedura negoziata senza bando aggiudicata con il criterio dell'offerta economicamente più vantaggiosa, la procedura si è conclusa nel termine massimo di 4 mesi intercorrenti fra l’invito a offrire e l’aggiudicazione?</w:t>
            </w:r>
          </w:p>
        </w:tc>
        <w:tc>
          <w:tcPr>
            <w:tcW w:w="2268" w:type="dxa"/>
          </w:tcPr>
          <w:p w14:paraId="530A3E76" w14:textId="77777777" w:rsidR="008F28D4" w:rsidRPr="00DF1DEC" w:rsidRDefault="008F28D4" w:rsidP="00D21535">
            <w:r w:rsidRPr="00DF1DEC">
              <w:t>Art. 17, comma 3</w:t>
            </w:r>
          </w:p>
          <w:p w14:paraId="4B0B2855" w14:textId="77777777" w:rsidR="008F28D4" w:rsidRPr="00DF1DEC" w:rsidRDefault="008F28D4" w:rsidP="00D21535">
            <w:r w:rsidRPr="00DF1DEC">
              <w:t>Allegato I.3</w:t>
            </w:r>
          </w:p>
        </w:tc>
        <w:tc>
          <w:tcPr>
            <w:tcW w:w="1814" w:type="dxa"/>
          </w:tcPr>
          <w:p w14:paraId="06171B33" w14:textId="77777777" w:rsidR="008F28D4" w:rsidRPr="008F6F6A" w:rsidRDefault="008F28D4" w:rsidP="00D21535"/>
        </w:tc>
        <w:tc>
          <w:tcPr>
            <w:tcW w:w="2268" w:type="dxa"/>
          </w:tcPr>
          <w:p w14:paraId="5B45DBAA" w14:textId="77777777" w:rsidR="008F28D4" w:rsidRPr="00B755AD" w:rsidRDefault="008F28D4" w:rsidP="00D21535">
            <w:pPr>
              <w:rPr>
                <w:b/>
              </w:rPr>
            </w:pPr>
          </w:p>
        </w:tc>
        <w:tc>
          <w:tcPr>
            <w:tcW w:w="3119" w:type="dxa"/>
          </w:tcPr>
          <w:p w14:paraId="2208E0A7" w14:textId="77777777" w:rsidR="008F28D4" w:rsidRPr="00B755AD" w:rsidRDefault="008F28D4" w:rsidP="00D21535">
            <w:pPr>
              <w:rPr>
                <w:b/>
              </w:rPr>
            </w:pPr>
          </w:p>
        </w:tc>
      </w:tr>
      <w:tr w:rsidR="008F28D4" w14:paraId="2629ECBE" w14:textId="5FA68123" w:rsidTr="008F28D4">
        <w:tc>
          <w:tcPr>
            <w:tcW w:w="5098" w:type="dxa"/>
          </w:tcPr>
          <w:p w14:paraId="7819AAD8" w14:textId="77777777" w:rsidR="008F28D4" w:rsidRPr="00DF1DEC" w:rsidRDefault="008F28D4" w:rsidP="00D21535">
            <w:r w:rsidRPr="00DF1DEC">
              <w:t>14.2. Nel caso di procedura negoziata senza bando aggiudicata con il criterio del prezzo più basso, la procedura si è conclusa nel termine massimo di 3 mesi intercorrenti fra l’invito a offrire e l’aggiudicazione?</w:t>
            </w:r>
          </w:p>
        </w:tc>
        <w:tc>
          <w:tcPr>
            <w:tcW w:w="2268" w:type="dxa"/>
          </w:tcPr>
          <w:p w14:paraId="0BBC0B52" w14:textId="77777777" w:rsidR="008F28D4" w:rsidRPr="00DF1DEC" w:rsidRDefault="008F28D4" w:rsidP="00D21535">
            <w:r w:rsidRPr="00DF1DEC">
              <w:t>Art. 17, comma 3</w:t>
            </w:r>
          </w:p>
          <w:p w14:paraId="480AFD2A" w14:textId="77777777" w:rsidR="008F28D4" w:rsidRPr="00DF1DEC" w:rsidRDefault="008F28D4" w:rsidP="00D21535">
            <w:r w:rsidRPr="00DF1DEC">
              <w:t>Allegato I.3</w:t>
            </w:r>
          </w:p>
        </w:tc>
        <w:tc>
          <w:tcPr>
            <w:tcW w:w="1814" w:type="dxa"/>
          </w:tcPr>
          <w:p w14:paraId="689F0CD2" w14:textId="77777777" w:rsidR="008F28D4" w:rsidRPr="008F6F6A" w:rsidRDefault="008F28D4" w:rsidP="00D21535"/>
        </w:tc>
        <w:tc>
          <w:tcPr>
            <w:tcW w:w="2268" w:type="dxa"/>
          </w:tcPr>
          <w:p w14:paraId="36D5B6A4" w14:textId="77777777" w:rsidR="008F28D4" w:rsidRPr="00B755AD" w:rsidRDefault="008F28D4" w:rsidP="00D21535">
            <w:pPr>
              <w:rPr>
                <w:b/>
              </w:rPr>
            </w:pPr>
          </w:p>
        </w:tc>
        <w:tc>
          <w:tcPr>
            <w:tcW w:w="3119" w:type="dxa"/>
          </w:tcPr>
          <w:p w14:paraId="3FCC92D6" w14:textId="77777777" w:rsidR="008F28D4" w:rsidRPr="00B755AD" w:rsidRDefault="008F28D4" w:rsidP="00D21535">
            <w:pPr>
              <w:rPr>
                <w:b/>
              </w:rPr>
            </w:pPr>
          </w:p>
        </w:tc>
      </w:tr>
      <w:tr w:rsidR="008F28D4" w14:paraId="412B7F57" w14:textId="662BDB08" w:rsidTr="008F28D4">
        <w:tc>
          <w:tcPr>
            <w:tcW w:w="5098" w:type="dxa"/>
          </w:tcPr>
          <w:p w14:paraId="316BF610" w14:textId="77777777" w:rsidR="008F28D4" w:rsidRPr="00DF1DEC" w:rsidRDefault="008F28D4" w:rsidP="00D21535">
            <w:r w:rsidRPr="00DF1DEC">
              <w:t>14.3. Nel caso in cui il termine sia stato superato:</w:t>
            </w:r>
          </w:p>
          <w:p w14:paraId="15CB90C4" w14:textId="77777777" w:rsidR="008F28D4" w:rsidRPr="00DF1DEC" w:rsidRDefault="008F28D4" w:rsidP="00D21535">
            <w:r w:rsidRPr="00DF1DEC">
              <w:t>i) il superamento, di non più di 1 mese, è stato dettato dalla necessità di verificare l’anomalia dell’offerta?</w:t>
            </w:r>
          </w:p>
          <w:p w14:paraId="3D7D7796" w14:textId="77777777" w:rsidR="008F28D4" w:rsidRPr="00DF1DEC" w:rsidRDefault="008F28D4" w:rsidP="00D21535">
            <w:r w:rsidRPr="00DF1DEC">
              <w:t>ii) Ricorrono situazioni eccezionali o comunque ulteriori situazioni imprevedibili di oggettiva difficoltà che rendono non sostenibili i tempi procedimentali sotto il profilo dell'organizzazione amministrativa e della particolare complessità della procedura, e il RUP ne ha dato conto con atto motivato?</w:t>
            </w:r>
          </w:p>
        </w:tc>
        <w:tc>
          <w:tcPr>
            <w:tcW w:w="2268" w:type="dxa"/>
          </w:tcPr>
          <w:p w14:paraId="11617ACE" w14:textId="77777777" w:rsidR="008F28D4" w:rsidRPr="00DF1DEC" w:rsidRDefault="008F28D4" w:rsidP="00D21535">
            <w:r w:rsidRPr="00DF1DEC">
              <w:t>Art. 17, comma 3</w:t>
            </w:r>
          </w:p>
          <w:p w14:paraId="63B0E4FC" w14:textId="77777777" w:rsidR="008F28D4" w:rsidRPr="00DF1DEC" w:rsidRDefault="008F28D4" w:rsidP="00D21535">
            <w:r w:rsidRPr="00DF1DEC">
              <w:t>Allegato I.3</w:t>
            </w:r>
          </w:p>
        </w:tc>
        <w:tc>
          <w:tcPr>
            <w:tcW w:w="1814" w:type="dxa"/>
          </w:tcPr>
          <w:p w14:paraId="144D8193" w14:textId="77777777" w:rsidR="008F28D4" w:rsidRPr="008F6F6A" w:rsidRDefault="008F28D4" w:rsidP="00D21535"/>
        </w:tc>
        <w:tc>
          <w:tcPr>
            <w:tcW w:w="2268" w:type="dxa"/>
          </w:tcPr>
          <w:p w14:paraId="1D427669" w14:textId="77777777" w:rsidR="008F28D4" w:rsidRPr="00B755AD" w:rsidRDefault="008F28D4" w:rsidP="00D21535">
            <w:pPr>
              <w:rPr>
                <w:b/>
              </w:rPr>
            </w:pPr>
          </w:p>
        </w:tc>
        <w:tc>
          <w:tcPr>
            <w:tcW w:w="3119" w:type="dxa"/>
          </w:tcPr>
          <w:p w14:paraId="19C54D19" w14:textId="77777777" w:rsidR="008F28D4" w:rsidRPr="00B755AD" w:rsidRDefault="008F28D4" w:rsidP="00D21535">
            <w:pPr>
              <w:rPr>
                <w:b/>
              </w:rPr>
            </w:pPr>
          </w:p>
        </w:tc>
      </w:tr>
      <w:tr w:rsidR="008F28D4" w14:paraId="42C7134C" w14:textId="06CD1629" w:rsidTr="008F28D4">
        <w:tc>
          <w:tcPr>
            <w:tcW w:w="5098" w:type="dxa"/>
          </w:tcPr>
          <w:p w14:paraId="0E8EC505" w14:textId="77777777" w:rsidR="008F28D4" w:rsidRPr="00B436B3" w:rsidRDefault="008F28D4" w:rsidP="00B436B3">
            <w:pPr>
              <w:rPr>
                <w:b/>
              </w:rPr>
            </w:pPr>
            <w:r w:rsidRPr="00B436B3">
              <w:rPr>
                <w:b/>
              </w:rPr>
              <w:t>15. Regole tecniche</w:t>
            </w:r>
          </w:p>
          <w:p w14:paraId="55566928" w14:textId="16291108" w:rsidR="008F28D4" w:rsidRPr="00B436B3" w:rsidRDefault="008F28D4" w:rsidP="00B436B3">
            <w:r w:rsidRPr="00B436B3">
              <w:lastRenderedPageBreak/>
              <w:t xml:space="preserve">15.1. Il gestore, il titolare e la piattaforma eventualmente utilizzati sono conformi alle regole tecniche prescritte? </w:t>
            </w:r>
            <w:r w:rsidRPr="00B436B3">
              <w:tab/>
            </w:r>
          </w:p>
        </w:tc>
        <w:tc>
          <w:tcPr>
            <w:tcW w:w="2268" w:type="dxa"/>
          </w:tcPr>
          <w:p w14:paraId="085957B5" w14:textId="77777777" w:rsidR="008F28D4" w:rsidRPr="00B436B3" w:rsidRDefault="008F28D4" w:rsidP="00B436B3">
            <w:r w:rsidRPr="00B436B3">
              <w:lastRenderedPageBreak/>
              <w:t>art. 26, commi 1 e 2</w:t>
            </w:r>
          </w:p>
          <w:p w14:paraId="66866F80" w14:textId="77777777" w:rsidR="008F28D4" w:rsidRPr="00B436B3" w:rsidRDefault="008F28D4" w:rsidP="00B436B3">
            <w:r w:rsidRPr="00B436B3">
              <w:lastRenderedPageBreak/>
              <w:t>Provvedimento AGID 137/2023 (Requisiti tecnici e modalità di certificazione delle Piattaforme di approvvigionamento digitale)</w:t>
            </w:r>
          </w:p>
          <w:p w14:paraId="6F0CFFFD" w14:textId="77777777" w:rsidR="008F28D4" w:rsidRPr="00B436B3" w:rsidRDefault="008F28D4" w:rsidP="00D21535"/>
        </w:tc>
        <w:tc>
          <w:tcPr>
            <w:tcW w:w="1814" w:type="dxa"/>
          </w:tcPr>
          <w:p w14:paraId="60C592A8" w14:textId="77777777" w:rsidR="008F28D4" w:rsidRPr="008F6F6A" w:rsidRDefault="008F28D4" w:rsidP="00D21535"/>
        </w:tc>
        <w:tc>
          <w:tcPr>
            <w:tcW w:w="2268" w:type="dxa"/>
          </w:tcPr>
          <w:p w14:paraId="1D843E10" w14:textId="77777777" w:rsidR="008F28D4" w:rsidRPr="00B755AD" w:rsidRDefault="008F28D4" w:rsidP="00D21535">
            <w:pPr>
              <w:rPr>
                <w:b/>
              </w:rPr>
            </w:pPr>
          </w:p>
        </w:tc>
        <w:tc>
          <w:tcPr>
            <w:tcW w:w="3119" w:type="dxa"/>
          </w:tcPr>
          <w:p w14:paraId="754DBFE1" w14:textId="77777777" w:rsidR="008F28D4" w:rsidRPr="00B755AD" w:rsidRDefault="008F28D4" w:rsidP="00D21535">
            <w:pPr>
              <w:rPr>
                <w:b/>
              </w:rPr>
            </w:pPr>
          </w:p>
        </w:tc>
      </w:tr>
    </w:tbl>
    <w:p w14:paraId="7796AE22" w14:textId="2E556571" w:rsidR="00B755AD" w:rsidRDefault="00B755AD" w:rsidP="00B755AD">
      <w:pPr>
        <w:jc w:val="both"/>
      </w:pPr>
      <w:r>
        <w:rPr>
          <w:rFonts w:ascii="Arial" w:hAnsi="Arial" w:cs="DecimaWE Rg"/>
          <w:b/>
          <w:bCs/>
          <w:color w:val="FFFFFF"/>
        </w:rPr>
        <w:t xml:space="preserve">CEDURA NEGOZIATA SEMPLIFICATA SOTTO </w:t>
      </w:r>
    </w:p>
    <w:p w14:paraId="3C78D9A1" w14:textId="77777777" w:rsidR="00EE6EFA" w:rsidRDefault="00EE6EFA"/>
    <w:sectPr w:rsidR="00EE6EFA" w:rsidSect="00FD2CD7">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7"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89224" w14:textId="77777777" w:rsidR="00FD2CD7" w:rsidRDefault="00FD2CD7" w:rsidP="00DF1DEC">
      <w:pPr>
        <w:spacing w:after="0" w:line="240" w:lineRule="auto"/>
      </w:pPr>
      <w:r>
        <w:separator/>
      </w:r>
    </w:p>
  </w:endnote>
  <w:endnote w:type="continuationSeparator" w:id="0">
    <w:p w14:paraId="5BA764E3" w14:textId="77777777" w:rsidR="00FD2CD7" w:rsidRDefault="00FD2CD7" w:rsidP="00DF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cimaWE Rg">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01ECE" w14:textId="77777777" w:rsidR="00F065A2" w:rsidRDefault="00F065A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3009"/>
      <w:gridCol w:w="1432"/>
      <w:gridCol w:w="2082"/>
      <w:gridCol w:w="2357"/>
      <w:gridCol w:w="4598"/>
    </w:tblGrid>
    <w:tr w:rsidR="00DF1DEC" w14:paraId="12DC6D77" w14:textId="77777777" w:rsidTr="00D21535">
      <w:trPr>
        <w:trHeight w:val="278"/>
      </w:trPr>
      <w:tc>
        <w:tcPr>
          <w:tcW w:w="1109" w:type="dxa"/>
          <w:shd w:val="clear" w:color="auto" w:fill="auto"/>
        </w:tcPr>
        <w:p w14:paraId="69808B97" w14:textId="77777777" w:rsidR="00DF1DEC" w:rsidRPr="00AB71AC" w:rsidRDefault="00DF1DEC" w:rsidP="00DF1DEC">
          <w:pPr>
            <w:rPr>
              <w:rFonts w:ascii="Arial" w:hAnsi="Arial" w:cs="Tahoma"/>
              <w:sz w:val="20"/>
            </w:rPr>
          </w:pPr>
          <w:r w:rsidRPr="00AB71AC">
            <w:rPr>
              <w:rFonts w:ascii="Arial" w:hAnsi="Arial" w:cs="Tahoma"/>
              <w:sz w:val="20"/>
            </w:rPr>
            <w:t>Ente</w:t>
          </w:r>
        </w:p>
      </w:tc>
      <w:tc>
        <w:tcPr>
          <w:tcW w:w="3009" w:type="dxa"/>
          <w:shd w:val="clear" w:color="auto" w:fill="auto"/>
        </w:tcPr>
        <w:p w14:paraId="03780AC8" w14:textId="77777777" w:rsidR="00DF1DEC" w:rsidRPr="00AB71AC" w:rsidRDefault="00DF1DEC" w:rsidP="00DF1DEC">
          <w:pPr>
            <w:rPr>
              <w:rFonts w:ascii="Arial" w:hAnsi="Arial" w:cs="Tahoma"/>
              <w:sz w:val="20"/>
            </w:rPr>
          </w:pPr>
        </w:p>
      </w:tc>
      <w:tc>
        <w:tcPr>
          <w:tcW w:w="1432" w:type="dxa"/>
          <w:shd w:val="clear" w:color="auto" w:fill="auto"/>
        </w:tcPr>
        <w:p w14:paraId="2F4255DA" w14:textId="77777777" w:rsidR="00DF1DEC" w:rsidRPr="00AB71AC" w:rsidRDefault="00DF1DEC" w:rsidP="00DF1DEC">
          <w:pPr>
            <w:rPr>
              <w:rFonts w:ascii="Arial" w:hAnsi="Arial" w:cs="Tahoma"/>
              <w:sz w:val="20"/>
            </w:rPr>
          </w:pPr>
          <w:r w:rsidRPr="00AB71AC">
            <w:rPr>
              <w:rFonts w:ascii="Arial" w:hAnsi="Arial" w:cs="Tahoma"/>
              <w:sz w:val="20"/>
            </w:rPr>
            <w:t>Luogo e data</w:t>
          </w:r>
        </w:p>
      </w:tc>
      <w:tc>
        <w:tcPr>
          <w:tcW w:w="2082" w:type="dxa"/>
          <w:shd w:val="clear" w:color="auto" w:fill="auto"/>
        </w:tcPr>
        <w:p w14:paraId="1EE452B5" w14:textId="77777777" w:rsidR="00DF1DEC" w:rsidRPr="00AB71AC" w:rsidRDefault="00DF1DEC" w:rsidP="00DF1DEC">
          <w:pPr>
            <w:rPr>
              <w:rFonts w:ascii="Arial" w:hAnsi="Arial" w:cs="Tahoma"/>
              <w:sz w:val="20"/>
            </w:rPr>
          </w:pPr>
        </w:p>
      </w:tc>
      <w:tc>
        <w:tcPr>
          <w:tcW w:w="2357" w:type="dxa"/>
          <w:shd w:val="clear" w:color="auto" w:fill="auto"/>
        </w:tcPr>
        <w:p w14:paraId="38459A4F" w14:textId="77777777" w:rsidR="00DF1DEC" w:rsidRPr="00AB71AC" w:rsidRDefault="00DF1DEC" w:rsidP="00DF1DEC">
          <w:pPr>
            <w:rPr>
              <w:rFonts w:ascii="Arial" w:hAnsi="Arial" w:cs="Tahoma"/>
              <w:sz w:val="20"/>
            </w:rPr>
          </w:pPr>
          <w:r w:rsidRPr="00AB71AC">
            <w:rPr>
              <w:rFonts w:ascii="Arial" w:hAnsi="Arial" w:cs="Tahoma"/>
              <w:sz w:val="20"/>
            </w:rPr>
            <w:t>Incaricato del Controllo</w:t>
          </w:r>
        </w:p>
      </w:tc>
      <w:tc>
        <w:tcPr>
          <w:tcW w:w="4598" w:type="dxa"/>
          <w:shd w:val="clear" w:color="auto" w:fill="auto"/>
        </w:tcPr>
        <w:p w14:paraId="613D9726" w14:textId="77777777" w:rsidR="00DF1DEC" w:rsidRPr="00AB71AC" w:rsidRDefault="00DF1DEC" w:rsidP="00DF1DEC">
          <w:pPr>
            <w:rPr>
              <w:rFonts w:ascii="Arial" w:hAnsi="Arial" w:cs="Tahoma"/>
              <w:sz w:val="20"/>
            </w:rPr>
          </w:pPr>
        </w:p>
      </w:tc>
    </w:tr>
  </w:tbl>
  <w:p w14:paraId="3E9F3082" w14:textId="77777777" w:rsidR="00DF1DEC" w:rsidRPr="00DF1DEC" w:rsidRDefault="00DF1DEC" w:rsidP="00DF1DE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7E646" w14:textId="77777777" w:rsidR="00F065A2" w:rsidRDefault="00F065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7F85E" w14:textId="77777777" w:rsidR="00FD2CD7" w:rsidRDefault="00FD2CD7" w:rsidP="00DF1DEC">
      <w:pPr>
        <w:spacing w:after="0" w:line="240" w:lineRule="auto"/>
      </w:pPr>
      <w:r>
        <w:separator/>
      </w:r>
    </w:p>
  </w:footnote>
  <w:footnote w:type="continuationSeparator" w:id="0">
    <w:p w14:paraId="443DC525" w14:textId="77777777" w:rsidR="00FD2CD7" w:rsidRDefault="00FD2CD7" w:rsidP="00DF1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B2293" w14:textId="034BAE50" w:rsidR="00D4771B" w:rsidRDefault="0014249C">
    <w:pPr>
      <w:pStyle w:val="Intestazione"/>
    </w:pPr>
    <w:r>
      <w:rPr>
        <w:noProof/>
      </w:rPr>
      <w:pict w14:anchorId="4BA13A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02235" o:spid="_x0000_s1026" type="#_x0000_t136" style="position:absolute;margin-left:0;margin-top:0;width:388.25pt;height:291.15pt;rotation:315;z-index:-251655168;mso-position-horizontal:center;mso-position-horizontal-relative:margin;mso-position-vertical:center;mso-position-vertical-relative:margin" o:allowincell="f" fillcolor="silver" stroked="f">
          <v:fill opacity=".5"/>
          <v:textpath style="font-family:&quot;Calibri&quot;;font-size:1pt" string="AGE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3458"/>
      <w:gridCol w:w="1106"/>
      <w:gridCol w:w="2830"/>
      <w:gridCol w:w="1833"/>
      <w:gridCol w:w="3933"/>
    </w:tblGrid>
    <w:tr w:rsidR="00DF1DEC" w:rsidRPr="00AB71AC" w14:paraId="19160D4C" w14:textId="77777777" w:rsidTr="00D21535">
      <w:trPr>
        <w:trHeight w:val="412"/>
      </w:trPr>
      <w:tc>
        <w:tcPr>
          <w:tcW w:w="14550" w:type="dxa"/>
          <w:gridSpan w:val="6"/>
          <w:shd w:val="clear" w:color="auto" w:fill="auto"/>
        </w:tcPr>
        <w:p w14:paraId="4F26DF18" w14:textId="2268D572" w:rsidR="00DF1DEC" w:rsidRPr="00AB71AC" w:rsidRDefault="0014249C" w:rsidP="00DF1DEC">
          <w:pPr>
            <w:rPr>
              <w:rFonts w:ascii="Arial" w:hAnsi="Arial" w:cs="Tahoma"/>
              <w:sz w:val="20"/>
            </w:rPr>
          </w:pPr>
          <w:r>
            <w:rPr>
              <w:noProof/>
            </w:rPr>
            <w:pict w14:anchorId="1DE2D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02236" o:spid="_x0000_s1027" type="#_x0000_t136" style="position:absolute;margin-left:0;margin-top:0;width:388.25pt;height:291.15pt;rotation:315;z-index:-251653120;mso-position-horizontal:center;mso-position-horizontal-relative:margin;mso-position-vertical:center;mso-position-vertical-relative:margin" o:allowincell="f" fillcolor="silver" stroked="f">
                <v:fill opacity=".5"/>
                <v:textpath style="font-family:&quot;Calibri&quot;;font-size:1pt" string="AGEA"/>
              </v:shape>
            </w:pict>
          </w:r>
          <w:r w:rsidR="00DF1DEC" w:rsidRPr="00AB71AC">
            <w:rPr>
              <w:rFonts w:ascii="Arial" w:hAnsi="Arial" w:cs="Tahoma"/>
              <w:b/>
              <w:bCs/>
              <w:sz w:val="20"/>
            </w:rPr>
            <w:t>CHECK LIST PER LE PROCEDURE DI GARA PER APPALTI PUBBLICI DI LAVORI, SERVIZI E FORNITURE</w:t>
          </w:r>
          <w:r w:rsidR="00DF1DEC" w:rsidRPr="00AB71AC">
            <w:rPr>
              <w:rFonts w:ascii="Arial" w:hAnsi="Arial" w:cs="Tahoma"/>
              <w:sz w:val="20"/>
            </w:rPr>
            <w:t xml:space="preserve"> (D.Lgs. 31 marzo 2023, n. 36 e s.m.i.)</w:t>
          </w:r>
        </w:p>
        <w:p w14:paraId="21496E38" w14:textId="09528703" w:rsidR="00DF1DEC" w:rsidRPr="00AB71AC" w:rsidRDefault="00DF1DEC" w:rsidP="00DF1DEC">
          <w:pPr>
            <w:rPr>
              <w:rFonts w:ascii="Arial" w:hAnsi="Arial" w:cs="Tahoma"/>
              <w:sz w:val="20"/>
            </w:rPr>
          </w:pPr>
          <w:r w:rsidRPr="00AB71AC">
            <w:rPr>
              <w:rFonts w:ascii="Arial" w:hAnsi="Arial" w:cs="Tahoma"/>
              <w:sz w:val="20"/>
            </w:rPr>
            <w:t>Fase: AUTOVALUTAZIONE / CONTROLLO                                                                                                                           vers. 3.</w:t>
          </w:r>
          <w:r w:rsidR="00F065A2">
            <w:rPr>
              <w:rFonts w:ascii="Arial" w:hAnsi="Arial" w:cs="Tahoma"/>
              <w:sz w:val="20"/>
            </w:rPr>
            <w:t>1</w:t>
          </w:r>
        </w:p>
      </w:tc>
    </w:tr>
    <w:tr w:rsidR="00DF1DEC" w:rsidRPr="00AB71AC" w14:paraId="41D711E9" w14:textId="77777777" w:rsidTr="00FD18AA">
      <w:trPr>
        <w:trHeight w:val="412"/>
      </w:trPr>
      <w:tc>
        <w:tcPr>
          <w:tcW w:w="1390" w:type="dxa"/>
          <w:shd w:val="clear" w:color="auto" w:fill="auto"/>
        </w:tcPr>
        <w:p w14:paraId="7E08E3DD" w14:textId="77777777" w:rsidR="00DF1DEC" w:rsidRPr="00AB71AC" w:rsidRDefault="00DF1DEC" w:rsidP="00DF1DEC">
          <w:pPr>
            <w:rPr>
              <w:rFonts w:ascii="Arial" w:hAnsi="Arial" w:cs="Tahoma"/>
              <w:sz w:val="20"/>
            </w:rPr>
          </w:pPr>
          <w:r w:rsidRPr="00AB71AC">
            <w:rPr>
              <w:rFonts w:ascii="Arial" w:hAnsi="Arial" w:cs="Tahoma"/>
              <w:sz w:val="20"/>
            </w:rPr>
            <w:t>Programma</w:t>
          </w:r>
        </w:p>
      </w:tc>
      <w:tc>
        <w:tcPr>
          <w:tcW w:w="3458" w:type="dxa"/>
          <w:shd w:val="clear" w:color="auto" w:fill="auto"/>
        </w:tcPr>
        <w:p w14:paraId="361A8B86" w14:textId="77777777" w:rsidR="00DF1DEC" w:rsidRPr="00AB71AC" w:rsidRDefault="00DF1DEC" w:rsidP="00DF1DEC">
          <w:pPr>
            <w:rPr>
              <w:rFonts w:ascii="Arial" w:hAnsi="Arial" w:cs="Tahoma"/>
              <w:sz w:val="20"/>
            </w:rPr>
          </w:pPr>
          <w:r w:rsidRPr="00AB71AC">
            <w:rPr>
              <w:rFonts w:ascii="Arial" w:hAnsi="Arial" w:cs="Tahoma"/>
              <w:sz w:val="20"/>
            </w:rPr>
            <w:t>PSP regione X</w:t>
          </w:r>
        </w:p>
      </w:tc>
      <w:tc>
        <w:tcPr>
          <w:tcW w:w="1106" w:type="dxa"/>
          <w:shd w:val="clear" w:color="auto" w:fill="auto"/>
        </w:tcPr>
        <w:p w14:paraId="33675F6F" w14:textId="77777777" w:rsidR="00DF1DEC" w:rsidRPr="00AB71AC" w:rsidRDefault="00DF1DEC" w:rsidP="00DF1DEC">
          <w:pPr>
            <w:rPr>
              <w:rFonts w:ascii="Arial" w:hAnsi="Arial" w:cs="Tahoma"/>
              <w:sz w:val="20"/>
            </w:rPr>
          </w:pPr>
          <w:r w:rsidRPr="00AB71AC">
            <w:rPr>
              <w:rFonts w:ascii="Arial" w:hAnsi="Arial" w:cs="Tahoma"/>
              <w:sz w:val="20"/>
            </w:rPr>
            <w:t>Intervento</w:t>
          </w:r>
        </w:p>
      </w:tc>
      <w:tc>
        <w:tcPr>
          <w:tcW w:w="2830" w:type="dxa"/>
          <w:shd w:val="clear" w:color="auto" w:fill="auto"/>
        </w:tcPr>
        <w:p w14:paraId="1FC4F14E" w14:textId="77777777" w:rsidR="00DF1DEC" w:rsidRPr="00AB71AC" w:rsidRDefault="00DF1DEC" w:rsidP="00DF1DEC">
          <w:pPr>
            <w:rPr>
              <w:rFonts w:ascii="Arial" w:hAnsi="Arial" w:cs="Tahoma"/>
              <w:sz w:val="20"/>
            </w:rPr>
          </w:pPr>
          <w:r w:rsidRPr="00AB71AC">
            <w:rPr>
              <w:rFonts w:ascii="Arial" w:hAnsi="Arial" w:cs="Tahoma"/>
              <w:sz w:val="20"/>
            </w:rPr>
            <w:t>X</w:t>
          </w:r>
        </w:p>
      </w:tc>
      <w:tc>
        <w:tcPr>
          <w:tcW w:w="1833" w:type="dxa"/>
          <w:shd w:val="clear" w:color="auto" w:fill="auto"/>
        </w:tcPr>
        <w:p w14:paraId="6169F7DA" w14:textId="77777777" w:rsidR="00DF1DEC" w:rsidRPr="00AB71AC" w:rsidRDefault="00DF1DEC" w:rsidP="00DF1DEC">
          <w:pPr>
            <w:rPr>
              <w:rFonts w:ascii="Arial" w:hAnsi="Arial" w:cs="Tahoma"/>
              <w:sz w:val="20"/>
            </w:rPr>
          </w:pPr>
          <w:r w:rsidRPr="00AB71AC">
            <w:rPr>
              <w:rFonts w:ascii="Arial" w:hAnsi="Arial" w:cs="Tahoma"/>
              <w:sz w:val="20"/>
            </w:rPr>
            <w:t>Descrizione procedura</w:t>
          </w:r>
        </w:p>
      </w:tc>
      <w:tc>
        <w:tcPr>
          <w:tcW w:w="3933" w:type="dxa"/>
          <w:shd w:val="clear" w:color="auto" w:fill="auto"/>
        </w:tcPr>
        <w:p w14:paraId="39566114" w14:textId="77777777" w:rsidR="00DF1DEC" w:rsidRPr="00AB71AC" w:rsidRDefault="00DF1DEC" w:rsidP="00DF1DEC">
          <w:pPr>
            <w:rPr>
              <w:rFonts w:ascii="Arial" w:hAnsi="Arial" w:cs="Tahoma"/>
              <w:sz w:val="20"/>
            </w:rPr>
          </w:pPr>
        </w:p>
      </w:tc>
    </w:tr>
    <w:tr w:rsidR="00DF1DEC" w:rsidRPr="00AB71AC" w14:paraId="1C1A564C" w14:textId="77777777" w:rsidTr="00FD18AA">
      <w:trPr>
        <w:trHeight w:val="447"/>
      </w:trPr>
      <w:tc>
        <w:tcPr>
          <w:tcW w:w="1390" w:type="dxa"/>
          <w:shd w:val="clear" w:color="auto" w:fill="auto"/>
        </w:tcPr>
        <w:p w14:paraId="72D6E2B8" w14:textId="77777777" w:rsidR="00DF1DEC" w:rsidRPr="00AB71AC" w:rsidRDefault="00DF1DEC" w:rsidP="00DF1DEC">
          <w:pPr>
            <w:rPr>
              <w:rFonts w:ascii="Arial" w:hAnsi="Arial" w:cs="Tahoma"/>
              <w:sz w:val="20"/>
            </w:rPr>
          </w:pPr>
          <w:r w:rsidRPr="00AB71AC">
            <w:rPr>
              <w:rFonts w:ascii="Arial" w:hAnsi="Arial" w:cs="Tahoma"/>
              <w:sz w:val="20"/>
            </w:rPr>
            <w:t>Beneficiario</w:t>
          </w:r>
        </w:p>
      </w:tc>
      <w:tc>
        <w:tcPr>
          <w:tcW w:w="3458" w:type="dxa"/>
          <w:shd w:val="clear" w:color="auto" w:fill="auto"/>
        </w:tcPr>
        <w:p w14:paraId="38C4AD32" w14:textId="77777777" w:rsidR="00DF1DEC" w:rsidRPr="00AB71AC" w:rsidRDefault="00DF1DEC" w:rsidP="00DF1DEC">
          <w:pPr>
            <w:rPr>
              <w:rFonts w:ascii="Arial" w:hAnsi="Arial" w:cs="Tahoma"/>
              <w:sz w:val="20"/>
            </w:rPr>
          </w:pPr>
          <w:r w:rsidRPr="00AB71AC">
            <w:rPr>
              <w:rFonts w:ascii="Arial" w:hAnsi="Arial" w:cs="Tahoma"/>
              <w:sz w:val="20"/>
            </w:rPr>
            <w:t xml:space="preserve"> Beneficiario pubblico</w:t>
          </w:r>
        </w:p>
      </w:tc>
      <w:tc>
        <w:tcPr>
          <w:tcW w:w="1106" w:type="dxa"/>
          <w:shd w:val="clear" w:color="auto" w:fill="auto"/>
        </w:tcPr>
        <w:p w14:paraId="6C3536D8" w14:textId="77777777" w:rsidR="00DF1DEC" w:rsidRPr="00AB71AC" w:rsidRDefault="00DF1DEC" w:rsidP="00DF1DEC">
          <w:pPr>
            <w:rPr>
              <w:rFonts w:ascii="Arial" w:hAnsi="Arial" w:cs="Tahoma"/>
              <w:sz w:val="20"/>
            </w:rPr>
          </w:pPr>
          <w:r w:rsidRPr="00AB71AC">
            <w:rPr>
              <w:rFonts w:ascii="Arial" w:hAnsi="Arial" w:cs="Tahoma"/>
              <w:sz w:val="20"/>
            </w:rPr>
            <w:t>n. ds</w:t>
          </w:r>
        </w:p>
      </w:tc>
      <w:tc>
        <w:tcPr>
          <w:tcW w:w="2830" w:type="dxa"/>
          <w:shd w:val="clear" w:color="auto" w:fill="auto"/>
        </w:tcPr>
        <w:p w14:paraId="5085FAF2" w14:textId="77777777" w:rsidR="00DF1DEC" w:rsidRPr="00AB71AC" w:rsidRDefault="00DF1DEC" w:rsidP="00DF1DEC">
          <w:pPr>
            <w:rPr>
              <w:rFonts w:ascii="Arial" w:hAnsi="Arial" w:cs="Tahoma"/>
              <w:sz w:val="20"/>
            </w:rPr>
          </w:pPr>
          <w:r w:rsidRPr="00AB71AC">
            <w:rPr>
              <w:rFonts w:ascii="Arial" w:hAnsi="Arial" w:cs="Tahoma"/>
              <w:sz w:val="20"/>
            </w:rPr>
            <w:t xml:space="preserve"> 000000000 del  /xx/xx/xxxx</w:t>
          </w:r>
        </w:p>
      </w:tc>
      <w:tc>
        <w:tcPr>
          <w:tcW w:w="1833" w:type="dxa"/>
          <w:shd w:val="clear" w:color="auto" w:fill="auto"/>
        </w:tcPr>
        <w:p w14:paraId="3EF90722" w14:textId="77777777" w:rsidR="00DF1DEC" w:rsidRPr="00AB71AC" w:rsidRDefault="00DF1DEC" w:rsidP="00DF1DEC">
          <w:pPr>
            <w:rPr>
              <w:rFonts w:ascii="Arial" w:hAnsi="Arial" w:cs="Tahoma"/>
              <w:sz w:val="20"/>
            </w:rPr>
          </w:pPr>
          <w:r w:rsidRPr="00AB71AC">
            <w:rPr>
              <w:rFonts w:ascii="Arial" w:hAnsi="Arial" w:cs="Tahoma"/>
              <w:sz w:val="20"/>
            </w:rPr>
            <w:t>n. d.p.</w:t>
          </w:r>
        </w:p>
      </w:tc>
      <w:tc>
        <w:tcPr>
          <w:tcW w:w="3933" w:type="dxa"/>
          <w:shd w:val="clear" w:color="auto" w:fill="auto"/>
        </w:tcPr>
        <w:p w14:paraId="7293686F" w14:textId="77777777" w:rsidR="00DF1DEC" w:rsidRPr="00AB71AC" w:rsidRDefault="00DF1DEC" w:rsidP="00DF1DEC">
          <w:pPr>
            <w:rPr>
              <w:rFonts w:ascii="Arial" w:hAnsi="Arial" w:cs="Tahoma"/>
              <w:sz w:val="20"/>
            </w:rPr>
          </w:pPr>
          <w:r w:rsidRPr="00AB71AC">
            <w:rPr>
              <w:rFonts w:ascii="Arial" w:hAnsi="Arial" w:cs="Tahoma"/>
              <w:sz w:val="20"/>
            </w:rPr>
            <w:t>000000000 del  /xx/xx/xxxx</w:t>
          </w:r>
        </w:p>
      </w:tc>
    </w:tr>
  </w:tbl>
  <w:p w14:paraId="4EA50434" w14:textId="58398687" w:rsidR="00DF1DEC" w:rsidRPr="00DF1DEC" w:rsidRDefault="00DF1DEC" w:rsidP="00DF1DE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132F7" w14:textId="36CC10AC" w:rsidR="00D4771B" w:rsidRDefault="0014249C">
    <w:pPr>
      <w:pStyle w:val="Intestazione"/>
    </w:pPr>
    <w:r>
      <w:rPr>
        <w:noProof/>
      </w:rPr>
      <w:pict w14:anchorId="14CA7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202234" o:spid="_x0000_s1025" type="#_x0000_t136" style="position:absolute;margin-left:0;margin-top:0;width:388.25pt;height:291.15pt;rotation:315;z-index:-251657216;mso-position-horizontal:center;mso-position-horizontal-relative:margin;mso-position-vertical:center;mso-position-vertical-relative:margin" o:allowincell="f" fillcolor="silver" stroked="f">
          <v:fill opacity=".5"/>
          <v:textpath style="font-family:&quot;Calibri&quot;;font-size:1pt" string="AGE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1123C"/>
    <w:multiLevelType w:val="multilevel"/>
    <w:tmpl w:val="7B18E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513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5AD"/>
    <w:rsid w:val="00014204"/>
    <w:rsid w:val="00050E08"/>
    <w:rsid w:val="0005307C"/>
    <w:rsid w:val="000539DC"/>
    <w:rsid w:val="00054D21"/>
    <w:rsid w:val="00071D5C"/>
    <w:rsid w:val="00127A46"/>
    <w:rsid w:val="0014249C"/>
    <w:rsid w:val="00150CE1"/>
    <w:rsid w:val="00241186"/>
    <w:rsid w:val="00241959"/>
    <w:rsid w:val="00250A05"/>
    <w:rsid w:val="00260492"/>
    <w:rsid w:val="0026098D"/>
    <w:rsid w:val="0029049F"/>
    <w:rsid w:val="002A6805"/>
    <w:rsid w:val="002C1238"/>
    <w:rsid w:val="002D3AF5"/>
    <w:rsid w:val="003358BE"/>
    <w:rsid w:val="00342501"/>
    <w:rsid w:val="003A70AE"/>
    <w:rsid w:val="004A3C7D"/>
    <w:rsid w:val="00564F81"/>
    <w:rsid w:val="005837A4"/>
    <w:rsid w:val="00614B61"/>
    <w:rsid w:val="00707C61"/>
    <w:rsid w:val="00744306"/>
    <w:rsid w:val="0076709B"/>
    <w:rsid w:val="0083449F"/>
    <w:rsid w:val="008567BE"/>
    <w:rsid w:val="00867EC1"/>
    <w:rsid w:val="00890915"/>
    <w:rsid w:val="008C0DC3"/>
    <w:rsid w:val="008F28D4"/>
    <w:rsid w:val="008F6F6A"/>
    <w:rsid w:val="00990122"/>
    <w:rsid w:val="00A37B5C"/>
    <w:rsid w:val="00A74729"/>
    <w:rsid w:val="00A81BDC"/>
    <w:rsid w:val="00B436B3"/>
    <w:rsid w:val="00B717A2"/>
    <w:rsid w:val="00B755AD"/>
    <w:rsid w:val="00B94F2E"/>
    <w:rsid w:val="00C13AA1"/>
    <w:rsid w:val="00C84DC3"/>
    <w:rsid w:val="00C87275"/>
    <w:rsid w:val="00D4771B"/>
    <w:rsid w:val="00D76085"/>
    <w:rsid w:val="00DF1DEC"/>
    <w:rsid w:val="00E57FC1"/>
    <w:rsid w:val="00E67FE3"/>
    <w:rsid w:val="00E7632F"/>
    <w:rsid w:val="00EB07FD"/>
    <w:rsid w:val="00EE6EFA"/>
    <w:rsid w:val="00F00618"/>
    <w:rsid w:val="00F05557"/>
    <w:rsid w:val="00F065A2"/>
    <w:rsid w:val="00F1607E"/>
    <w:rsid w:val="00F97376"/>
    <w:rsid w:val="00FC13BE"/>
    <w:rsid w:val="00FD18AA"/>
    <w:rsid w:val="00FD2CD7"/>
    <w:rsid w:val="00FF3E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CF55F"/>
  <w15:docId w15:val="{F4DCA7EC-9F54-4825-B7F7-CCE25CCC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75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F6F6A"/>
    <w:pPr>
      <w:ind w:left="720"/>
      <w:contextualSpacing/>
    </w:pPr>
  </w:style>
  <w:style w:type="paragraph" w:styleId="Intestazione">
    <w:name w:val="header"/>
    <w:basedOn w:val="Normale"/>
    <w:link w:val="IntestazioneCarattere"/>
    <w:uiPriority w:val="99"/>
    <w:unhideWhenUsed/>
    <w:rsid w:val="00DF1D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1DEC"/>
  </w:style>
  <w:style w:type="paragraph" w:styleId="Pidipagina">
    <w:name w:val="footer"/>
    <w:basedOn w:val="Normale"/>
    <w:link w:val="PidipaginaCarattere"/>
    <w:uiPriority w:val="99"/>
    <w:unhideWhenUsed/>
    <w:rsid w:val="00DF1D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1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591874">
      <w:bodyDiv w:val="1"/>
      <w:marLeft w:val="0"/>
      <w:marRight w:val="0"/>
      <w:marTop w:val="0"/>
      <w:marBottom w:val="0"/>
      <w:divBdr>
        <w:top w:val="none" w:sz="0" w:space="0" w:color="auto"/>
        <w:left w:val="none" w:sz="0" w:space="0" w:color="auto"/>
        <w:bottom w:val="none" w:sz="0" w:space="0" w:color="auto"/>
        <w:right w:val="none" w:sz="0" w:space="0" w:color="auto"/>
      </w:divBdr>
    </w:div>
    <w:div w:id="178881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2005</Words>
  <Characters>11430</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Giorgia Corbucci</cp:lastModifiedBy>
  <cp:revision>6</cp:revision>
  <dcterms:created xsi:type="dcterms:W3CDTF">2024-01-18T16:03:00Z</dcterms:created>
  <dcterms:modified xsi:type="dcterms:W3CDTF">2024-03-28T16:07:00Z</dcterms:modified>
</cp:coreProperties>
</file>